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939B" w14:textId="1CDD808D" w:rsidR="00036416" w:rsidRDefault="008E4D9A" w:rsidP="00700618">
      <w:pPr>
        <w:pStyle w:val="1"/>
        <w:spacing w:before="156" w:after="156"/>
        <w:jc w:val="center"/>
        <w:rPr>
          <w:rFonts w:hint="eastAsia"/>
          <w:sz w:val="36"/>
          <w:szCs w:val="28"/>
        </w:rPr>
      </w:pPr>
      <w:r>
        <w:rPr>
          <w:rFonts w:hint="eastAsia"/>
          <w:sz w:val="36"/>
          <w:szCs w:val="28"/>
        </w:rPr>
        <w:t>强化中</w:t>
      </w:r>
      <w:r w:rsidR="00DB660F" w:rsidRPr="00F64E77">
        <w:rPr>
          <w:rFonts w:hint="eastAsia"/>
          <w:sz w:val="36"/>
          <w:szCs w:val="28"/>
        </w:rPr>
        <w:t>国航运企业</w:t>
      </w:r>
      <w:r w:rsidR="00722823">
        <w:rPr>
          <w:rFonts w:hint="eastAsia"/>
          <w:sz w:val="36"/>
          <w:szCs w:val="28"/>
        </w:rPr>
        <w:t>低碳</w:t>
      </w:r>
      <w:r w:rsidR="00DB660F" w:rsidRPr="00F64E77">
        <w:rPr>
          <w:rFonts w:hint="eastAsia"/>
          <w:sz w:val="36"/>
          <w:szCs w:val="28"/>
        </w:rPr>
        <w:t>转型</w:t>
      </w:r>
      <w:r w:rsidR="00FA4665">
        <w:rPr>
          <w:rFonts w:hint="eastAsia"/>
          <w:sz w:val="36"/>
          <w:szCs w:val="28"/>
        </w:rPr>
        <w:t>的</w:t>
      </w:r>
      <w:r>
        <w:rPr>
          <w:rFonts w:hint="eastAsia"/>
          <w:sz w:val="36"/>
          <w:szCs w:val="28"/>
        </w:rPr>
        <w:t>力度</w:t>
      </w:r>
    </w:p>
    <w:p w14:paraId="2DEA1EED" w14:textId="77777777" w:rsidR="00FA4665" w:rsidRPr="00722823" w:rsidRDefault="00FA4665" w:rsidP="00FA4665">
      <w:pPr>
        <w:rPr>
          <w:rFonts w:hint="eastAsia"/>
        </w:rPr>
      </w:pPr>
    </w:p>
    <w:p w14:paraId="6C0773B7" w14:textId="1E0C1C55" w:rsidR="00FA4665" w:rsidRPr="00FA4665" w:rsidRDefault="00FA4665" w:rsidP="00FA4665">
      <w:pPr>
        <w:jc w:val="center"/>
        <w:rPr>
          <w:rFonts w:asciiTheme="minorEastAsia" w:hAnsiTheme="minorEastAsia" w:hint="eastAsia"/>
          <w:sz w:val="28"/>
          <w:szCs w:val="28"/>
        </w:rPr>
      </w:pPr>
      <w:r w:rsidRPr="00FA4665">
        <w:rPr>
          <w:rFonts w:asciiTheme="minorEastAsia" w:hAnsiTheme="minorEastAsia" w:hint="eastAsia"/>
          <w:sz w:val="28"/>
          <w:szCs w:val="28"/>
        </w:rPr>
        <w:t>马骏 吴琼 郭芳</w:t>
      </w:r>
      <w:r>
        <w:rPr>
          <w:rStyle w:val="afa"/>
          <w:rFonts w:asciiTheme="minorEastAsia" w:hAnsiTheme="minorEastAsia"/>
          <w:sz w:val="28"/>
          <w:szCs w:val="28"/>
        </w:rPr>
        <w:footnoteReference w:id="1"/>
      </w:r>
    </w:p>
    <w:p w14:paraId="504E40E4" w14:textId="77777777" w:rsidR="00FA4665" w:rsidRDefault="00FA4665" w:rsidP="00FA4665">
      <w:pPr>
        <w:rPr>
          <w:rFonts w:hint="eastAsia"/>
        </w:rPr>
      </w:pPr>
    </w:p>
    <w:p w14:paraId="0B96C25C" w14:textId="77777777" w:rsidR="00FA4665" w:rsidRPr="00FA4665" w:rsidRDefault="00FA4665" w:rsidP="00FA4665">
      <w:pPr>
        <w:rPr>
          <w:rFonts w:hint="eastAsia"/>
        </w:rPr>
      </w:pPr>
    </w:p>
    <w:p w14:paraId="1689EE40" w14:textId="77777777" w:rsidR="00D90E31" w:rsidRDefault="00F3443B" w:rsidP="00D52AFB">
      <w:pPr>
        <w:pStyle w:val="-05-15"/>
        <w:ind w:firstLine="560"/>
        <w:rPr>
          <w:rFonts w:hint="eastAsia"/>
          <w:sz w:val="28"/>
          <w:szCs w:val="28"/>
        </w:rPr>
      </w:pPr>
      <w:r>
        <w:rPr>
          <w:rFonts w:hint="eastAsia"/>
          <w:sz w:val="28"/>
          <w:szCs w:val="28"/>
        </w:rPr>
        <w:t>航运业是全球贸易的动脉，在推动全球经济和贸易发展方面发挥着重要作用。但与此同时，传统航运燃料燃烧产生的温室气体排放问题也长期受到国际社会的广泛关注。</w:t>
      </w:r>
      <w:r w:rsidR="00D52AFB">
        <w:rPr>
          <w:rFonts w:hint="eastAsia"/>
          <w:sz w:val="28"/>
          <w:szCs w:val="28"/>
        </w:rPr>
        <w:t>截至2023年，</w:t>
      </w:r>
      <w:r w:rsidR="006C46B1" w:rsidRPr="006C46B1">
        <w:rPr>
          <w:rFonts w:hint="eastAsia"/>
          <w:sz w:val="28"/>
          <w:szCs w:val="28"/>
        </w:rPr>
        <w:t>全球航运业</w:t>
      </w:r>
      <w:r>
        <w:rPr>
          <w:rFonts w:hint="eastAsia"/>
          <w:sz w:val="28"/>
          <w:szCs w:val="28"/>
        </w:rPr>
        <w:t>的年</w:t>
      </w:r>
      <w:r w:rsidR="006C46B1" w:rsidRPr="006C46B1">
        <w:rPr>
          <w:rFonts w:hint="eastAsia"/>
          <w:sz w:val="28"/>
          <w:szCs w:val="28"/>
        </w:rPr>
        <w:t>二氧化碳排放量超</w:t>
      </w:r>
      <w:r>
        <w:rPr>
          <w:rFonts w:hint="eastAsia"/>
          <w:sz w:val="28"/>
          <w:szCs w:val="28"/>
        </w:rPr>
        <w:t>过</w:t>
      </w:r>
      <w:r w:rsidR="006C46B1" w:rsidRPr="006C46B1">
        <w:rPr>
          <w:rFonts w:hint="eastAsia"/>
          <w:sz w:val="28"/>
          <w:szCs w:val="28"/>
        </w:rPr>
        <w:t>10亿吨，占全球总排放量的约3%</w:t>
      </w:r>
      <w:r w:rsidR="003A5DB7">
        <w:rPr>
          <w:rFonts w:hint="eastAsia"/>
          <w:sz w:val="28"/>
          <w:szCs w:val="28"/>
        </w:rPr>
        <w:t>。</w:t>
      </w:r>
      <w:r w:rsidR="00D52AFB" w:rsidRPr="00D52AFB">
        <w:rPr>
          <w:sz w:val="28"/>
          <w:szCs w:val="28"/>
        </w:rPr>
        <w:t>国际海事组织预测显示，如果不采取措施，至2050年全球海运贸易活动产生的碳排放量将增长至2008年水平的130%</w:t>
      </w:r>
      <w:r w:rsidR="00D52AFB">
        <w:rPr>
          <w:rFonts w:hint="eastAsia"/>
          <w:sz w:val="28"/>
          <w:szCs w:val="28"/>
        </w:rPr>
        <w:t>。</w:t>
      </w:r>
    </w:p>
    <w:p w14:paraId="7D328BED" w14:textId="30B47E40" w:rsidR="00DB1545" w:rsidRDefault="00BB65FA" w:rsidP="008C45BF">
      <w:pPr>
        <w:pStyle w:val="-05-15"/>
        <w:ind w:firstLine="560"/>
        <w:rPr>
          <w:rFonts w:hint="eastAsia"/>
          <w:sz w:val="28"/>
          <w:szCs w:val="28"/>
        </w:rPr>
      </w:pPr>
      <w:r w:rsidRPr="00BB65FA">
        <w:rPr>
          <w:sz w:val="28"/>
          <w:szCs w:val="28"/>
        </w:rPr>
        <w:t>为了控制日益增长的船舶温室气体排放，</w:t>
      </w:r>
      <w:r w:rsidR="007C2B6D">
        <w:rPr>
          <w:rFonts w:hint="eastAsia"/>
          <w:sz w:val="28"/>
          <w:szCs w:val="28"/>
        </w:rPr>
        <w:t>国际</w:t>
      </w:r>
      <w:r w:rsidR="005A3FC5" w:rsidRPr="00F64E77">
        <w:rPr>
          <w:rFonts w:hint="eastAsia"/>
          <w:sz w:val="28"/>
          <w:szCs w:val="28"/>
        </w:rPr>
        <w:t>航运业减排</w:t>
      </w:r>
      <w:r w:rsidR="007C2B6D">
        <w:rPr>
          <w:rFonts w:hint="eastAsia"/>
          <w:sz w:val="28"/>
          <w:szCs w:val="28"/>
        </w:rPr>
        <w:t>雄心水平</w:t>
      </w:r>
      <w:r w:rsidR="005A3FC5" w:rsidRPr="00F64E77">
        <w:rPr>
          <w:rFonts w:hint="eastAsia"/>
          <w:sz w:val="28"/>
          <w:szCs w:val="28"/>
        </w:rPr>
        <w:t>大幅提升，行业绿色转型政策</w:t>
      </w:r>
      <w:r w:rsidR="007C2B6D">
        <w:rPr>
          <w:rFonts w:hint="eastAsia"/>
          <w:sz w:val="28"/>
          <w:szCs w:val="28"/>
        </w:rPr>
        <w:t>和规则</w:t>
      </w:r>
      <w:r w:rsidR="00271B08" w:rsidRPr="00F64E77">
        <w:rPr>
          <w:rFonts w:hint="eastAsia"/>
          <w:sz w:val="28"/>
          <w:szCs w:val="28"/>
        </w:rPr>
        <w:t>纷纷出台</w:t>
      </w:r>
      <w:r w:rsidR="003D7A72">
        <w:rPr>
          <w:rFonts w:hint="eastAsia"/>
          <w:sz w:val="28"/>
          <w:szCs w:val="28"/>
        </w:rPr>
        <w:t>，且日趋严格</w:t>
      </w:r>
      <w:r w:rsidR="00FA60C8">
        <w:rPr>
          <w:rFonts w:hint="eastAsia"/>
          <w:sz w:val="28"/>
          <w:szCs w:val="28"/>
        </w:rPr>
        <w:t>。</w:t>
      </w:r>
      <w:r w:rsidR="00D90E31" w:rsidRPr="00D90E31">
        <w:rPr>
          <w:sz w:val="28"/>
          <w:szCs w:val="28"/>
        </w:rPr>
        <w:t>国内方面，</w:t>
      </w:r>
      <w:r w:rsidR="008C45BF" w:rsidRPr="008C45BF">
        <w:rPr>
          <w:rFonts w:hint="eastAsia"/>
          <w:sz w:val="28"/>
          <w:szCs w:val="28"/>
        </w:rPr>
        <w:t>在碳达峰碳中和（简称“双碳”）“1+N”政策体系指引下，</w:t>
      </w:r>
      <w:r w:rsidR="008C45BF">
        <w:rPr>
          <w:rFonts w:hint="eastAsia"/>
          <w:sz w:val="28"/>
          <w:szCs w:val="28"/>
        </w:rPr>
        <w:t>我国</w:t>
      </w:r>
      <w:r w:rsidR="00D90E31" w:rsidRPr="00D90E31">
        <w:rPr>
          <w:sz w:val="28"/>
          <w:szCs w:val="28"/>
        </w:rPr>
        <w:t>已经采取了一系列政策和措施</w:t>
      </w:r>
      <w:r w:rsidR="008C45BF">
        <w:rPr>
          <w:rFonts w:hint="eastAsia"/>
          <w:sz w:val="28"/>
          <w:szCs w:val="28"/>
        </w:rPr>
        <w:t>稳步推进航运温室气体减排</w:t>
      </w:r>
      <w:r w:rsidR="00D90E31" w:rsidRPr="00D90E31">
        <w:rPr>
          <w:sz w:val="28"/>
          <w:szCs w:val="28"/>
        </w:rPr>
        <w:t>，包括鼓励船舶能效管理</w:t>
      </w:r>
      <w:r w:rsidR="000B7194">
        <w:rPr>
          <w:rFonts w:hint="eastAsia"/>
          <w:sz w:val="28"/>
          <w:szCs w:val="28"/>
        </w:rPr>
        <w:t>、鼓励新能源和清洁能源船舶研发应用</w:t>
      </w:r>
      <w:r w:rsidR="00D90E31" w:rsidRPr="00D90E31">
        <w:rPr>
          <w:sz w:val="28"/>
          <w:szCs w:val="28"/>
        </w:rPr>
        <w:t>等。</w:t>
      </w:r>
      <w:r w:rsidR="00AC3E2E">
        <w:rPr>
          <w:rFonts w:hint="eastAsia"/>
          <w:sz w:val="28"/>
          <w:szCs w:val="28"/>
        </w:rPr>
        <w:t>但</w:t>
      </w:r>
      <w:r w:rsidR="000B7194">
        <w:rPr>
          <w:rFonts w:hint="eastAsia"/>
          <w:sz w:val="28"/>
          <w:szCs w:val="28"/>
        </w:rPr>
        <w:t>相较于国际</w:t>
      </w:r>
      <w:r w:rsidR="00F925A9">
        <w:rPr>
          <w:rFonts w:hint="eastAsia"/>
          <w:sz w:val="28"/>
          <w:szCs w:val="28"/>
        </w:rPr>
        <w:t>领先的</w:t>
      </w:r>
      <w:r w:rsidR="000B7194">
        <w:rPr>
          <w:rFonts w:hint="eastAsia"/>
          <w:sz w:val="28"/>
          <w:szCs w:val="28"/>
        </w:rPr>
        <w:t>航运企业，</w:t>
      </w:r>
      <w:r w:rsidR="005A3FC5" w:rsidRPr="00F64E77">
        <w:rPr>
          <w:sz w:val="28"/>
          <w:szCs w:val="28"/>
        </w:rPr>
        <w:t>我国多数航运企业</w:t>
      </w:r>
      <w:r w:rsidR="00FA4665">
        <w:rPr>
          <w:rFonts w:hint="eastAsia"/>
          <w:sz w:val="28"/>
          <w:szCs w:val="28"/>
        </w:rPr>
        <w:t>尚未拿出向碳中和转型的具体时间表与路线图，</w:t>
      </w:r>
      <w:r w:rsidR="005A3FC5" w:rsidRPr="00F64E77">
        <w:rPr>
          <w:sz w:val="28"/>
          <w:szCs w:val="28"/>
        </w:rPr>
        <w:t>在</w:t>
      </w:r>
      <w:r w:rsidR="00271B08" w:rsidRPr="00F64E77">
        <w:rPr>
          <w:rFonts w:hint="eastAsia"/>
          <w:sz w:val="28"/>
          <w:szCs w:val="28"/>
        </w:rPr>
        <w:t>碳核算与</w:t>
      </w:r>
      <w:r w:rsidR="005A3FC5" w:rsidRPr="00F64E77">
        <w:rPr>
          <w:sz w:val="28"/>
          <w:szCs w:val="28"/>
        </w:rPr>
        <w:t>披露、转型风险分析和碳中和规划等方面</w:t>
      </w:r>
      <w:r w:rsidR="00622817">
        <w:rPr>
          <w:rFonts w:hint="eastAsia"/>
          <w:sz w:val="28"/>
          <w:szCs w:val="28"/>
        </w:rPr>
        <w:t>仍缺失</w:t>
      </w:r>
      <w:r w:rsidR="005A3FC5" w:rsidRPr="00F64E77">
        <w:rPr>
          <w:sz w:val="28"/>
          <w:szCs w:val="28"/>
        </w:rPr>
        <w:t>完整、可操作的方案</w:t>
      </w:r>
      <w:r w:rsidR="005A3FC5" w:rsidRPr="00F64E77">
        <w:rPr>
          <w:rFonts w:hint="eastAsia"/>
          <w:sz w:val="28"/>
          <w:szCs w:val="28"/>
        </w:rPr>
        <w:t>，</w:t>
      </w:r>
      <w:r w:rsidR="00AC3E2E">
        <w:rPr>
          <w:rFonts w:hint="eastAsia"/>
          <w:sz w:val="28"/>
          <w:szCs w:val="28"/>
        </w:rPr>
        <w:t>在</w:t>
      </w:r>
      <w:r w:rsidR="005A3FC5" w:rsidRPr="00F64E77">
        <w:rPr>
          <w:rFonts w:hint="eastAsia"/>
          <w:sz w:val="28"/>
          <w:szCs w:val="28"/>
        </w:rPr>
        <w:t>船用新能源</w:t>
      </w:r>
      <w:r w:rsidR="00AC3E2E">
        <w:rPr>
          <w:rFonts w:hint="eastAsia"/>
          <w:sz w:val="28"/>
          <w:szCs w:val="28"/>
        </w:rPr>
        <w:t>研发应用</w:t>
      </w:r>
      <w:r w:rsidR="005A3FC5" w:rsidRPr="00F64E77">
        <w:rPr>
          <w:rFonts w:hint="eastAsia"/>
          <w:sz w:val="28"/>
          <w:szCs w:val="28"/>
        </w:rPr>
        <w:t>、船舶技术改造等方面</w:t>
      </w:r>
      <w:r w:rsidR="00AC3E2E">
        <w:rPr>
          <w:rFonts w:hint="eastAsia"/>
          <w:sz w:val="28"/>
          <w:szCs w:val="28"/>
        </w:rPr>
        <w:t>仍面临</w:t>
      </w:r>
      <w:r w:rsidR="00622817">
        <w:rPr>
          <w:rFonts w:hint="eastAsia"/>
          <w:sz w:val="28"/>
          <w:szCs w:val="28"/>
        </w:rPr>
        <w:t>严峻的</w:t>
      </w:r>
      <w:r w:rsidR="00AC3E2E">
        <w:rPr>
          <w:rFonts w:hint="eastAsia"/>
          <w:sz w:val="28"/>
          <w:szCs w:val="28"/>
        </w:rPr>
        <w:t>转型挑战</w:t>
      </w:r>
      <w:r w:rsidR="005A3FC5" w:rsidRPr="00F64E77">
        <w:rPr>
          <w:rFonts w:hint="eastAsia"/>
          <w:sz w:val="28"/>
          <w:szCs w:val="28"/>
        </w:rPr>
        <w:t>。</w:t>
      </w:r>
    </w:p>
    <w:p w14:paraId="15AA6B16" w14:textId="4BF0E194" w:rsidR="00B570E2" w:rsidRPr="00F64E77" w:rsidRDefault="004F71E9" w:rsidP="00B570E2">
      <w:pPr>
        <w:pStyle w:val="-05-15"/>
        <w:ind w:firstLine="560"/>
        <w:rPr>
          <w:rFonts w:hint="eastAsia"/>
          <w:sz w:val="28"/>
          <w:szCs w:val="28"/>
        </w:rPr>
      </w:pPr>
      <w:r w:rsidRPr="00F64E77">
        <w:rPr>
          <w:rFonts w:hint="eastAsia"/>
          <w:sz w:val="28"/>
          <w:szCs w:val="28"/>
        </w:rPr>
        <w:lastRenderedPageBreak/>
        <w:t>本文</w:t>
      </w:r>
      <w:r w:rsidR="00446195" w:rsidRPr="00F64E77">
        <w:rPr>
          <w:rFonts w:hint="eastAsia"/>
          <w:sz w:val="28"/>
          <w:szCs w:val="28"/>
        </w:rPr>
        <w:t>通过梳理</w:t>
      </w:r>
      <w:r w:rsidR="00625099">
        <w:rPr>
          <w:rFonts w:hint="eastAsia"/>
          <w:sz w:val="28"/>
          <w:szCs w:val="28"/>
        </w:rPr>
        <w:t>和借鉴</w:t>
      </w:r>
      <w:r w:rsidR="00446195" w:rsidRPr="00F64E77">
        <w:rPr>
          <w:rFonts w:hint="eastAsia"/>
          <w:sz w:val="28"/>
          <w:szCs w:val="28"/>
        </w:rPr>
        <w:t>国际航运企业的</w:t>
      </w:r>
      <w:r w:rsidR="00AB3F34">
        <w:rPr>
          <w:rFonts w:hint="eastAsia"/>
          <w:sz w:val="28"/>
          <w:szCs w:val="28"/>
        </w:rPr>
        <w:t>转型</w:t>
      </w:r>
      <w:r w:rsidR="00446195" w:rsidRPr="00F64E77">
        <w:rPr>
          <w:rFonts w:hint="eastAsia"/>
          <w:sz w:val="28"/>
          <w:szCs w:val="28"/>
        </w:rPr>
        <w:t>经验，从</w:t>
      </w:r>
      <w:r w:rsidR="00625099">
        <w:rPr>
          <w:rFonts w:hint="eastAsia"/>
          <w:sz w:val="28"/>
          <w:szCs w:val="28"/>
        </w:rPr>
        <w:t>转型规划、</w:t>
      </w:r>
      <w:r w:rsidR="00F64E77" w:rsidRPr="00F64E77">
        <w:rPr>
          <w:rFonts w:hint="eastAsia"/>
          <w:sz w:val="28"/>
          <w:szCs w:val="28"/>
        </w:rPr>
        <w:t>信息披露</w:t>
      </w:r>
      <w:r w:rsidR="00446195" w:rsidRPr="00F64E77">
        <w:rPr>
          <w:rFonts w:hint="eastAsia"/>
          <w:sz w:val="28"/>
          <w:szCs w:val="28"/>
        </w:rPr>
        <w:t>、</w:t>
      </w:r>
      <w:r w:rsidR="00283389" w:rsidRPr="00F64E77">
        <w:rPr>
          <w:rFonts w:hint="eastAsia"/>
          <w:sz w:val="28"/>
          <w:szCs w:val="28"/>
        </w:rPr>
        <w:t>转型金融</w:t>
      </w:r>
      <w:r w:rsidR="00446195" w:rsidRPr="00F64E77">
        <w:rPr>
          <w:rFonts w:hint="eastAsia"/>
          <w:sz w:val="28"/>
          <w:szCs w:val="28"/>
        </w:rPr>
        <w:t>、能力建设和国际合作</w:t>
      </w:r>
      <w:r w:rsidR="00625099">
        <w:rPr>
          <w:rFonts w:hint="eastAsia"/>
          <w:sz w:val="28"/>
          <w:szCs w:val="28"/>
        </w:rPr>
        <w:t>等</w:t>
      </w:r>
      <w:r>
        <w:rPr>
          <w:rFonts w:hint="eastAsia"/>
          <w:sz w:val="28"/>
          <w:szCs w:val="28"/>
        </w:rPr>
        <w:t>关键领域</w:t>
      </w:r>
      <w:r w:rsidR="00446195" w:rsidRPr="00F64E77">
        <w:rPr>
          <w:rFonts w:hint="eastAsia"/>
          <w:sz w:val="28"/>
          <w:szCs w:val="28"/>
        </w:rPr>
        <w:t>，</w:t>
      </w:r>
      <w:r w:rsidR="00625099">
        <w:rPr>
          <w:rFonts w:hint="eastAsia"/>
          <w:sz w:val="28"/>
          <w:szCs w:val="28"/>
        </w:rPr>
        <w:t>就如何加速推动我国</w:t>
      </w:r>
      <w:r w:rsidR="00F4167D">
        <w:rPr>
          <w:rFonts w:hint="eastAsia"/>
          <w:sz w:val="28"/>
          <w:szCs w:val="28"/>
        </w:rPr>
        <w:t>航运</w:t>
      </w:r>
      <w:r w:rsidR="00625099">
        <w:rPr>
          <w:rFonts w:hint="eastAsia"/>
          <w:sz w:val="28"/>
          <w:szCs w:val="28"/>
        </w:rPr>
        <w:t>业</w:t>
      </w:r>
      <w:r w:rsidR="00687AA1">
        <w:rPr>
          <w:rFonts w:hint="eastAsia"/>
          <w:sz w:val="28"/>
          <w:szCs w:val="28"/>
        </w:rPr>
        <w:t>低碳</w:t>
      </w:r>
      <w:r w:rsidR="00446195" w:rsidRPr="00F64E77">
        <w:rPr>
          <w:rFonts w:hint="eastAsia"/>
          <w:sz w:val="28"/>
          <w:szCs w:val="28"/>
        </w:rPr>
        <w:t>转型</w:t>
      </w:r>
      <w:r w:rsidR="00625099">
        <w:rPr>
          <w:rFonts w:hint="eastAsia"/>
          <w:sz w:val="28"/>
          <w:szCs w:val="28"/>
        </w:rPr>
        <w:t>，提出对</w:t>
      </w:r>
      <w:r w:rsidR="008B5C4C">
        <w:rPr>
          <w:rFonts w:hint="eastAsia"/>
          <w:sz w:val="28"/>
          <w:szCs w:val="28"/>
        </w:rPr>
        <w:t>行业</w:t>
      </w:r>
      <w:r w:rsidR="00954333">
        <w:rPr>
          <w:rFonts w:hint="eastAsia"/>
          <w:sz w:val="28"/>
          <w:szCs w:val="28"/>
        </w:rPr>
        <w:t>相关</w:t>
      </w:r>
      <w:r w:rsidR="008B5C4C">
        <w:rPr>
          <w:rFonts w:hint="eastAsia"/>
          <w:sz w:val="28"/>
          <w:szCs w:val="28"/>
        </w:rPr>
        <w:t>主管部门</w:t>
      </w:r>
      <w:r w:rsidR="00625099">
        <w:rPr>
          <w:rFonts w:hint="eastAsia"/>
          <w:sz w:val="28"/>
          <w:szCs w:val="28"/>
        </w:rPr>
        <w:t>和企业的一系列建议。</w:t>
      </w:r>
    </w:p>
    <w:p w14:paraId="2C2740B4" w14:textId="2493E06B" w:rsidR="00036416" w:rsidRPr="00F64E77" w:rsidRDefault="00894633" w:rsidP="00F5560F">
      <w:pPr>
        <w:pStyle w:val="2"/>
        <w:numPr>
          <w:ilvl w:val="0"/>
          <w:numId w:val="2"/>
        </w:numPr>
        <w:spacing w:before="156" w:after="156"/>
        <w:rPr>
          <w:rFonts w:asciiTheme="minorHAnsi" w:eastAsiaTheme="minorHAnsi" w:hAnsiTheme="minorHAnsi" w:hint="eastAsia"/>
          <w:sz w:val="28"/>
          <w:szCs w:val="28"/>
        </w:rPr>
      </w:pPr>
      <w:r w:rsidRPr="00F64E77">
        <w:rPr>
          <w:rFonts w:asciiTheme="minorHAnsi" w:eastAsiaTheme="minorHAnsi" w:hAnsiTheme="minorHAnsi" w:hint="eastAsia"/>
          <w:sz w:val="28"/>
          <w:szCs w:val="28"/>
        </w:rPr>
        <w:t>我国航运业低碳转型</w:t>
      </w:r>
      <w:r w:rsidR="00F925A9">
        <w:rPr>
          <w:rFonts w:asciiTheme="minorHAnsi" w:eastAsiaTheme="minorHAnsi" w:hAnsiTheme="minorHAnsi" w:hint="eastAsia"/>
          <w:sz w:val="28"/>
          <w:szCs w:val="28"/>
        </w:rPr>
        <w:t>的紧迫性</w:t>
      </w:r>
    </w:p>
    <w:p w14:paraId="3399C87A" w14:textId="4685DFA9" w:rsidR="00446195" w:rsidRPr="00F64E77" w:rsidRDefault="006B0A77" w:rsidP="00446195">
      <w:pPr>
        <w:ind w:firstLineChars="200" w:firstLine="560"/>
        <w:rPr>
          <w:rFonts w:hint="eastAsia"/>
          <w:sz w:val="28"/>
          <w:szCs w:val="28"/>
        </w:rPr>
      </w:pPr>
      <w:r>
        <w:rPr>
          <w:rFonts w:hint="eastAsia"/>
          <w:sz w:val="28"/>
          <w:szCs w:val="28"/>
        </w:rPr>
        <w:t>全球</w:t>
      </w:r>
      <w:r w:rsidR="00397726" w:rsidRPr="00F64E77">
        <w:rPr>
          <w:rFonts w:hint="eastAsia"/>
          <w:sz w:val="28"/>
          <w:szCs w:val="28"/>
        </w:rPr>
        <w:t>低碳转型政策目标、</w:t>
      </w:r>
      <w:r w:rsidR="002B26EC" w:rsidRPr="00F64E77">
        <w:rPr>
          <w:rFonts w:hint="eastAsia"/>
          <w:sz w:val="28"/>
          <w:szCs w:val="28"/>
        </w:rPr>
        <w:t>全球气候治理机制、绿色偏好客户等</w:t>
      </w:r>
      <w:r w:rsidR="003D05DC">
        <w:rPr>
          <w:rFonts w:hint="eastAsia"/>
          <w:sz w:val="28"/>
          <w:szCs w:val="28"/>
        </w:rPr>
        <w:t>因素</w:t>
      </w:r>
      <w:r>
        <w:rPr>
          <w:rFonts w:hint="eastAsia"/>
          <w:sz w:val="28"/>
          <w:szCs w:val="28"/>
        </w:rPr>
        <w:t>已经</w:t>
      </w:r>
      <w:r w:rsidR="00DA45D7" w:rsidRPr="00F64E77">
        <w:rPr>
          <w:rFonts w:hint="eastAsia"/>
          <w:sz w:val="28"/>
          <w:szCs w:val="28"/>
        </w:rPr>
        <w:t>给航运企业</w:t>
      </w:r>
      <w:r w:rsidR="003F18C4">
        <w:rPr>
          <w:rFonts w:hint="eastAsia"/>
          <w:sz w:val="28"/>
          <w:szCs w:val="28"/>
        </w:rPr>
        <w:t>的</w:t>
      </w:r>
      <w:r w:rsidR="00DA45D7" w:rsidRPr="00F64E77">
        <w:rPr>
          <w:rFonts w:hint="eastAsia"/>
          <w:sz w:val="28"/>
          <w:szCs w:val="28"/>
        </w:rPr>
        <w:t>运营</w:t>
      </w:r>
      <w:r>
        <w:rPr>
          <w:rFonts w:hint="eastAsia"/>
          <w:sz w:val="28"/>
          <w:szCs w:val="28"/>
        </w:rPr>
        <w:t>模式</w:t>
      </w:r>
      <w:r w:rsidR="002B26EC" w:rsidRPr="00F64E77">
        <w:rPr>
          <w:rFonts w:hint="eastAsia"/>
          <w:sz w:val="28"/>
          <w:szCs w:val="28"/>
        </w:rPr>
        <w:t>带来</w:t>
      </w:r>
      <w:r w:rsidR="004273D5">
        <w:rPr>
          <w:rFonts w:hint="eastAsia"/>
          <w:sz w:val="28"/>
          <w:szCs w:val="28"/>
        </w:rPr>
        <w:t>了</w:t>
      </w:r>
      <w:r w:rsidR="002B26EC" w:rsidRPr="00F64E77">
        <w:rPr>
          <w:rFonts w:hint="eastAsia"/>
          <w:sz w:val="28"/>
          <w:szCs w:val="28"/>
        </w:rPr>
        <w:t>极大</w:t>
      </w:r>
      <w:r w:rsidR="00DA45D7" w:rsidRPr="00F64E77">
        <w:rPr>
          <w:rFonts w:hint="eastAsia"/>
          <w:sz w:val="28"/>
          <w:szCs w:val="28"/>
        </w:rPr>
        <w:t>压力</w:t>
      </w:r>
      <w:r w:rsidR="007B03C2">
        <w:rPr>
          <w:rFonts w:hint="eastAsia"/>
          <w:sz w:val="28"/>
          <w:szCs w:val="28"/>
        </w:rPr>
        <w:t>。</w:t>
      </w:r>
      <w:r>
        <w:rPr>
          <w:rFonts w:hint="eastAsia"/>
          <w:sz w:val="28"/>
          <w:szCs w:val="28"/>
        </w:rPr>
        <w:t>对转型不力的航运企业来说，</w:t>
      </w:r>
      <w:r w:rsidR="007B03C2">
        <w:rPr>
          <w:rFonts w:hint="eastAsia"/>
          <w:sz w:val="28"/>
          <w:szCs w:val="28"/>
        </w:rPr>
        <w:t>这些因素</w:t>
      </w:r>
      <w:r w:rsidR="002B26EC" w:rsidRPr="00F64E77">
        <w:rPr>
          <w:rFonts w:hint="eastAsia"/>
          <w:sz w:val="28"/>
          <w:szCs w:val="28"/>
        </w:rPr>
        <w:t>短期</w:t>
      </w:r>
      <w:r w:rsidR="007B03C2">
        <w:rPr>
          <w:rFonts w:hint="eastAsia"/>
          <w:sz w:val="28"/>
          <w:szCs w:val="28"/>
        </w:rPr>
        <w:t>内</w:t>
      </w:r>
      <w:r w:rsidR="004273D5">
        <w:rPr>
          <w:rFonts w:hint="eastAsia"/>
          <w:sz w:val="28"/>
          <w:szCs w:val="28"/>
        </w:rPr>
        <w:t>将</w:t>
      </w:r>
      <w:r w:rsidR="002B26EC" w:rsidRPr="00F64E77">
        <w:rPr>
          <w:rFonts w:hint="eastAsia"/>
          <w:sz w:val="28"/>
          <w:szCs w:val="28"/>
        </w:rPr>
        <w:t>直接</w:t>
      </w:r>
      <w:r w:rsidR="007B03C2">
        <w:rPr>
          <w:rFonts w:hint="eastAsia"/>
          <w:sz w:val="28"/>
          <w:szCs w:val="28"/>
        </w:rPr>
        <w:t>导致</w:t>
      </w:r>
      <w:r w:rsidR="002B26EC" w:rsidRPr="00F64E77">
        <w:rPr>
          <w:rFonts w:hint="eastAsia"/>
          <w:sz w:val="28"/>
          <w:szCs w:val="28"/>
        </w:rPr>
        <w:t>运营成本上升，中期</w:t>
      </w:r>
      <w:r w:rsidR="007B03C2">
        <w:rPr>
          <w:rFonts w:hint="eastAsia"/>
          <w:sz w:val="28"/>
          <w:szCs w:val="28"/>
        </w:rPr>
        <w:t>可能会</w:t>
      </w:r>
      <w:r w:rsidR="007B03C2" w:rsidRPr="00F64E77">
        <w:rPr>
          <w:rFonts w:hint="eastAsia"/>
          <w:sz w:val="28"/>
          <w:szCs w:val="28"/>
        </w:rPr>
        <w:t>削弱</w:t>
      </w:r>
      <w:r w:rsidR="004273D5">
        <w:rPr>
          <w:rFonts w:hint="eastAsia"/>
          <w:sz w:val="28"/>
          <w:szCs w:val="28"/>
        </w:rPr>
        <w:t>企业的</w:t>
      </w:r>
      <w:r w:rsidR="002B26EC" w:rsidRPr="00F64E77">
        <w:rPr>
          <w:rFonts w:hint="eastAsia"/>
          <w:sz w:val="28"/>
          <w:szCs w:val="28"/>
        </w:rPr>
        <w:t>市场竞争力，长期</w:t>
      </w:r>
      <w:r w:rsidR="007B03C2">
        <w:rPr>
          <w:rFonts w:hint="eastAsia"/>
          <w:sz w:val="28"/>
          <w:szCs w:val="28"/>
        </w:rPr>
        <w:t>则可能</w:t>
      </w:r>
      <w:r>
        <w:rPr>
          <w:rFonts w:hint="eastAsia"/>
          <w:sz w:val="28"/>
          <w:szCs w:val="28"/>
        </w:rPr>
        <w:t>严重</w:t>
      </w:r>
      <w:r w:rsidR="002B26EC" w:rsidRPr="00F64E77">
        <w:rPr>
          <w:rFonts w:hint="eastAsia"/>
          <w:sz w:val="28"/>
          <w:szCs w:val="28"/>
        </w:rPr>
        <w:t>影响企业</w:t>
      </w:r>
      <w:r w:rsidR="004273D5">
        <w:rPr>
          <w:rFonts w:hint="eastAsia"/>
          <w:sz w:val="28"/>
          <w:szCs w:val="28"/>
        </w:rPr>
        <w:t>的</w:t>
      </w:r>
      <w:r>
        <w:rPr>
          <w:rFonts w:hint="eastAsia"/>
          <w:sz w:val="28"/>
          <w:szCs w:val="28"/>
        </w:rPr>
        <w:t>市场</w:t>
      </w:r>
      <w:r w:rsidR="002B26EC" w:rsidRPr="00F64E77">
        <w:rPr>
          <w:rFonts w:hint="eastAsia"/>
          <w:sz w:val="28"/>
          <w:szCs w:val="28"/>
        </w:rPr>
        <w:t>价值</w:t>
      </w:r>
      <w:r w:rsidR="007B03C2">
        <w:rPr>
          <w:rFonts w:hint="eastAsia"/>
          <w:sz w:val="28"/>
          <w:szCs w:val="28"/>
        </w:rPr>
        <w:t>甚至</w:t>
      </w:r>
      <w:r>
        <w:rPr>
          <w:rFonts w:hint="eastAsia"/>
          <w:sz w:val="28"/>
          <w:szCs w:val="28"/>
        </w:rPr>
        <w:t>迫使部分企业退出市场</w:t>
      </w:r>
      <w:r w:rsidR="002B26EC" w:rsidRPr="00F64E77">
        <w:rPr>
          <w:rFonts w:hint="eastAsia"/>
          <w:sz w:val="28"/>
          <w:szCs w:val="28"/>
        </w:rPr>
        <w:t>。</w:t>
      </w:r>
    </w:p>
    <w:p w14:paraId="48DEC3FA" w14:textId="16865EE8" w:rsidR="000F1DC0" w:rsidRPr="003F18C4" w:rsidRDefault="00F925A9" w:rsidP="000F1DC0">
      <w:pPr>
        <w:pStyle w:val="3"/>
        <w:numPr>
          <w:ilvl w:val="0"/>
          <w:numId w:val="3"/>
        </w:numPr>
        <w:spacing w:before="156" w:after="156"/>
        <w:rPr>
          <w:rFonts w:asciiTheme="majorHAnsi" w:eastAsiaTheme="majorHAnsi" w:hAnsiTheme="majorHAnsi" w:hint="eastAsia"/>
          <w:sz w:val="28"/>
          <w:szCs w:val="28"/>
        </w:rPr>
      </w:pPr>
      <w:r>
        <w:rPr>
          <w:rFonts w:asciiTheme="majorHAnsi" w:eastAsiaTheme="majorHAnsi" w:hAnsiTheme="majorHAnsi" w:hint="eastAsia"/>
          <w:sz w:val="28"/>
          <w:szCs w:val="28"/>
        </w:rPr>
        <w:t>航运业</w:t>
      </w:r>
      <w:r w:rsidR="000F1DC0" w:rsidRPr="003F18C4">
        <w:rPr>
          <w:rFonts w:asciiTheme="majorHAnsi" w:eastAsiaTheme="majorHAnsi" w:hAnsiTheme="majorHAnsi" w:hint="eastAsia"/>
          <w:sz w:val="28"/>
          <w:szCs w:val="28"/>
        </w:rPr>
        <w:t>低碳转型</w:t>
      </w:r>
      <w:r>
        <w:rPr>
          <w:rFonts w:asciiTheme="majorHAnsi" w:eastAsiaTheme="majorHAnsi" w:hAnsiTheme="majorHAnsi" w:hint="eastAsia"/>
          <w:sz w:val="28"/>
          <w:szCs w:val="28"/>
        </w:rPr>
        <w:t>的国内外政策背景</w:t>
      </w:r>
    </w:p>
    <w:p w14:paraId="30A07990" w14:textId="0D7F563F" w:rsidR="000F1DC0" w:rsidRPr="00F64E77" w:rsidRDefault="000F1DC0" w:rsidP="00626EFC">
      <w:pPr>
        <w:ind w:firstLineChars="200" w:firstLine="560"/>
        <w:rPr>
          <w:rFonts w:hint="eastAsia"/>
          <w:sz w:val="28"/>
          <w:szCs w:val="28"/>
        </w:rPr>
      </w:pPr>
      <w:r w:rsidRPr="00F64E77">
        <w:rPr>
          <w:rFonts w:hint="eastAsia"/>
          <w:sz w:val="28"/>
          <w:szCs w:val="28"/>
        </w:rPr>
        <w:t>当前，全球航运业减碳目标明确，相关措施也日渐趋严。</w:t>
      </w:r>
      <w:r w:rsidRPr="00F64E77">
        <w:rPr>
          <w:sz w:val="28"/>
          <w:szCs w:val="28"/>
        </w:rPr>
        <w:t>2023年，国际海事组织（IMO）在</w:t>
      </w:r>
      <w:r w:rsidR="009365FF" w:rsidRPr="009365FF">
        <w:rPr>
          <w:rFonts w:hint="eastAsia"/>
          <w:sz w:val="28"/>
          <w:szCs w:val="28"/>
        </w:rPr>
        <w:t>海洋环境保护委员会会议</w:t>
      </w:r>
      <w:r w:rsidR="0094151D" w:rsidRPr="009365FF">
        <w:rPr>
          <w:rFonts w:hint="eastAsia"/>
          <w:sz w:val="28"/>
          <w:szCs w:val="28"/>
        </w:rPr>
        <w:t>（MEPC 80）</w:t>
      </w:r>
      <w:r w:rsidRPr="00F64E77">
        <w:rPr>
          <w:sz w:val="28"/>
          <w:szCs w:val="28"/>
        </w:rPr>
        <w:t>上通过了《2023年船舶温室气体减排战略》，明确到2030年国际航运业温室气体排放总量比2008年至少降低20%，力争降低30%，碳排放强度比2008年平均降低40%及以上，温室气体零排放或近零排放的技术、燃料或能源</w:t>
      </w:r>
      <w:r w:rsidR="0094151D">
        <w:rPr>
          <w:rFonts w:hint="eastAsia"/>
          <w:sz w:val="28"/>
          <w:szCs w:val="28"/>
        </w:rPr>
        <w:t>在</w:t>
      </w:r>
      <w:r w:rsidR="0094151D" w:rsidRPr="00F64E77">
        <w:rPr>
          <w:sz w:val="28"/>
          <w:szCs w:val="28"/>
        </w:rPr>
        <w:t>国际航运</w:t>
      </w:r>
      <w:r w:rsidR="0094151D">
        <w:rPr>
          <w:rFonts w:hint="eastAsia"/>
          <w:sz w:val="28"/>
          <w:szCs w:val="28"/>
        </w:rPr>
        <w:t>用能中</w:t>
      </w:r>
      <w:r w:rsidRPr="00F64E77">
        <w:rPr>
          <w:sz w:val="28"/>
          <w:szCs w:val="28"/>
        </w:rPr>
        <w:t>占比至少达到5%，力争达到10%；到2050年前后实现温室气体净零排放。IMO</w:t>
      </w:r>
      <w:r w:rsidR="000968D5">
        <w:rPr>
          <w:rFonts w:hint="eastAsia"/>
          <w:sz w:val="28"/>
          <w:szCs w:val="28"/>
        </w:rPr>
        <w:t>提出</w:t>
      </w:r>
      <w:r w:rsidR="002B26EC" w:rsidRPr="00F64E77">
        <w:rPr>
          <w:rFonts w:hint="eastAsia"/>
          <w:sz w:val="28"/>
          <w:szCs w:val="28"/>
        </w:rPr>
        <w:t>的</w:t>
      </w:r>
      <w:r w:rsidRPr="00F64E77">
        <w:rPr>
          <w:sz w:val="28"/>
          <w:szCs w:val="28"/>
        </w:rPr>
        <w:t>短期措施</w:t>
      </w:r>
      <w:r w:rsidR="00626EFC">
        <w:rPr>
          <w:rFonts w:hint="eastAsia"/>
          <w:sz w:val="28"/>
          <w:szCs w:val="28"/>
        </w:rPr>
        <w:t>主要</w:t>
      </w:r>
      <w:r w:rsidR="004423CF">
        <w:rPr>
          <w:rFonts w:hint="eastAsia"/>
          <w:sz w:val="28"/>
          <w:szCs w:val="28"/>
        </w:rPr>
        <w:t>包括</w:t>
      </w:r>
      <w:r w:rsidR="004E2A51" w:rsidRPr="00F64E77">
        <w:rPr>
          <w:sz w:val="28"/>
          <w:szCs w:val="28"/>
        </w:rPr>
        <w:t>船舶能效指数（EEXI）和</w:t>
      </w:r>
      <w:r w:rsidR="0094151D">
        <w:rPr>
          <w:rFonts w:hint="eastAsia"/>
          <w:sz w:val="28"/>
          <w:szCs w:val="28"/>
        </w:rPr>
        <w:t>营运</w:t>
      </w:r>
      <w:r w:rsidR="004E2A51" w:rsidRPr="00F64E77">
        <w:rPr>
          <w:sz w:val="28"/>
          <w:szCs w:val="28"/>
        </w:rPr>
        <w:t>碳强度指数（CII）</w:t>
      </w:r>
      <w:r w:rsidR="00626EFC">
        <w:rPr>
          <w:rFonts w:hint="eastAsia"/>
          <w:sz w:val="28"/>
          <w:szCs w:val="28"/>
        </w:rPr>
        <w:t>，该措施</w:t>
      </w:r>
      <w:r w:rsidR="00A40C2A" w:rsidRPr="00F64E77">
        <w:rPr>
          <w:rFonts w:hint="eastAsia"/>
          <w:sz w:val="28"/>
          <w:szCs w:val="28"/>
        </w:rPr>
        <w:t>已</w:t>
      </w:r>
      <w:r w:rsidRPr="00F64E77">
        <w:rPr>
          <w:sz w:val="28"/>
          <w:szCs w:val="28"/>
        </w:rPr>
        <w:t>于2023年生效。中期措施</w:t>
      </w:r>
      <w:r w:rsidR="00626EFC">
        <w:rPr>
          <w:rFonts w:hint="eastAsia"/>
          <w:sz w:val="28"/>
          <w:szCs w:val="28"/>
        </w:rPr>
        <w:t>主要包括：1、</w:t>
      </w:r>
      <w:r w:rsidR="00626EFC" w:rsidRPr="00F64E77">
        <w:rPr>
          <w:sz w:val="28"/>
          <w:szCs w:val="28"/>
        </w:rPr>
        <w:t>技术要素</w:t>
      </w:r>
      <w:r w:rsidR="003508C0">
        <w:rPr>
          <w:rFonts w:hint="eastAsia"/>
          <w:sz w:val="28"/>
          <w:szCs w:val="28"/>
        </w:rPr>
        <w:t>，</w:t>
      </w:r>
      <w:r w:rsidR="00626EFC">
        <w:rPr>
          <w:rFonts w:hint="eastAsia"/>
          <w:sz w:val="28"/>
          <w:szCs w:val="28"/>
        </w:rPr>
        <w:t>即</w:t>
      </w:r>
      <w:r w:rsidR="00626EFC" w:rsidRPr="00F64E77">
        <w:rPr>
          <w:sz w:val="28"/>
          <w:szCs w:val="28"/>
        </w:rPr>
        <w:t>基于目标的船用燃料标准，</w:t>
      </w:r>
      <w:r w:rsidR="00626EFC">
        <w:rPr>
          <w:rFonts w:hint="eastAsia"/>
          <w:sz w:val="28"/>
          <w:szCs w:val="28"/>
        </w:rPr>
        <w:t>为</w:t>
      </w:r>
      <w:r w:rsidR="00626EFC" w:rsidRPr="00F64E77">
        <w:rPr>
          <w:sz w:val="28"/>
          <w:szCs w:val="28"/>
        </w:rPr>
        <w:t>船用燃料温室气体强度</w:t>
      </w:r>
      <w:r w:rsidR="00626EFC">
        <w:rPr>
          <w:rFonts w:hint="eastAsia"/>
          <w:sz w:val="28"/>
          <w:szCs w:val="28"/>
        </w:rPr>
        <w:t>提出</w:t>
      </w:r>
      <w:r w:rsidR="00626EFC" w:rsidRPr="00F64E77">
        <w:rPr>
          <w:sz w:val="28"/>
          <w:szCs w:val="28"/>
        </w:rPr>
        <w:t>分阶段降低</w:t>
      </w:r>
      <w:r w:rsidR="00626EFC">
        <w:rPr>
          <w:rFonts w:hint="eastAsia"/>
          <w:sz w:val="28"/>
          <w:szCs w:val="28"/>
        </w:rPr>
        <w:t>要求</w:t>
      </w:r>
      <w:r w:rsidR="00626EFC" w:rsidRPr="00F64E77">
        <w:rPr>
          <w:sz w:val="28"/>
          <w:szCs w:val="28"/>
        </w:rPr>
        <w:t>；</w:t>
      </w:r>
      <w:r w:rsidR="00626EFC">
        <w:rPr>
          <w:rFonts w:hint="eastAsia"/>
          <w:sz w:val="28"/>
          <w:szCs w:val="28"/>
        </w:rPr>
        <w:t>和2、</w:t>
      </w:r>
      <w:r w:rsidR="00626EFC" w:rsidRPr="00F64E77">
        <w:rPr>
          <w:sz w:val="28"/>
          <w:szCs w:val="28"/>
        </w:rPr>
        <w:t>经济要</w:t>
      </w:r>
      <w:r w:rsidR="00626EFC" w:rsidRPr="00F64E77">
        <w:rPr>
          <w:sz w:val="28"/>
          <w:szCs w:val="28"/>
        </w:rPr>
        <w:lastRenderedPageBreak/>
        <w:t>素</w:t>
      </w:r>
      <w:r w:rsidR="003508C0">
        <w:rPr>
          <w:rFonts w:hint="eastAsia"/>
          <w:sz w:val="28"/>
          <w:szCs w:val="28"/>
        </w:rPr>
        <w:t>，</w:t>
      </w:r>
      <w:r w:rsidR="00626EFC">
        <w:rPr>
          <w:rFonts w:hint="eastAsia"/>
          <w:sz w:val="28"/>
          <w:szCs w:val="28"/>
        </w:rPr>
        <w:t>即</w:t>
      </w:r>
      <w:r w:rsidR="00626EFC" w:rsidRPr="00F64E77">
        <w:rPr>
          <w:sz w:val="28"/>
          <w:szCs w:val="28"/>
        </w:rPr>
        <w:t>海洋温室气体排放定价机制。</w:t>
      </w:r>
      <w:r w:rsidR="00626EFC">
        <w:rPr>
          <w:rFonts w:hint="eastAsia"/>
          <w:sz w:val="28"/>
          <w:szCs w:val="28"/>
        </w:rPr>
        <w:t>中期措施将在2025年审议通过，</w:t>
      </w:r>
      <w:r w:rsidRPr="00F64E77">
        <w:rPr>
          <w:sz w:val="28"/>
          <w:szCs w:val="28"/>
        </w:rPr>
        <w:t>最快将于2027年实施</w:t>
      </w:r>
      <w:r w:rsidR="000968D5">
        <w:rPr>
          <w:rFonts w:hint="eastAsia"/>
          <w:sz w:val="28"/>
          <w:szCs w:val="28"/>
        </w:rPr>
        <w:t>。</w:t>
      </w:r>
      <w:r w:rsidR="00626EFC" w:rsidRPr="00F64E77" w:rsidDel="00626EFC">
        <w:rPr>
          <w:sz w:val="28"/>
          <w:szCs w:val="28"/>
        </w:rPr>
        <w:t xml:space="preserve"> </w:t>
      </w:r>
    </w:p>
    <w:p w14:paraId="4AB0F167" w14:textId="21BB18AC" w:rsidR="002C2655" w:rsidRPr="00F64E77" w:rsidRDefault="000F1DC0" w:rsidP="008E4AFA">
      <w:pPr>
        <w:pStyle w:val="-05-15"/>
        <w:ind w:firstLine="560"/>
        <w:rPr>
          <w:rFonts w:hint="eastAsia"/>
          <w:sz w:val="28"/>
          <w:szCs w:val="28"/>
        </w:rPr>
      </w:pPr>
      <w:r w:rsidRPr="00F64E77">
        <w:rPr>
          <w:rFonts w:hint="eastAsia"/>
          <w:sz w:val="28"/>
          <w:szCs w:val="28"/>
        </w:rPr>
        <w:t>我国对交通运输业绿色转型也提出了</w:t>
      </w:r>
      <w:r w:rsidR="000968D5">
        <w:rPr>
          <w:rFonts w:hint="eastAsia"/>
          <w:sz w:val="28"/>
          <w:szCs w:val="28"/>
        </w:rPr>
        <w:t>一些</w:t>
      </w:r>
      <w:r w:rsidRPr="00F64E77">
        <w:rPr>
          <w:rFonts w:hint="eastAsia"/>
          <w:sz w:val="28"/>
          <w:szCs w:val="28"/>
        </w:rPr>
        <w:t>要求。</w:t>
      </w:r>
      <w:r w:rsidR="008E4AFA" w:rsidRPr="00914CCB">
        <w:rPr>
          <w:sz w:val="28"/>
          <w:szCs w:val="28"/>
        </w:rPr>
        <w:t>交通运输部于2022年1月发布了《水运 “十四五”发展规划》，提出构建清洁低碳的港口船舶能源体系，促进岸电设施常态化使用，鼓励液化天然气（LNG）、电动、氢能等新能源和清洁能源船舶研发应用。</w:t>
      </w:r>
      <w:r w:rsidRPr="00F64E77">
        <w:rPr>
          <w:sz w:val="28"/>
          <w:szCs w:val="28"/>
        </w:rPr>
        <w:t>2024年8月，中共中央国务院发布《关于加快经济社会全面绿色转型的意见》，</w:t>
      </w:r>
      <w:r w:rsidR="00BE0466" w:rsidRPr="00F64E77">
        <w:rPr>
          <w:rFonts w:hint="eastAsia"/>
          <w:sz w:val="28"/>
          <w:szCs w:val="28"/>
        </w:rPr>
        <w:t>提</w:t>
      </w:r>
      <w:r w:rsidR="004E2A51" w:rsidRPr="00F64E77">
        <w:rPr>
          <w:rFonts w:hint="eastAsia"/>
          <w:sz w:val="28"/>
          <w:szCs w:val="28"/>
        </w:rPr>
        <w:t>出</w:t>
      </w:r>
      <w:r w:rsidR="00BE0466" w:rsidRPr="00F64E77">
        <w:rPr>
          <w:rFonts w:hint="eastAsia"/>
          <w:sz w:val="28"/>
          <w:szCs w:val="28"/>
        </w:rPr>
        <w:t>要提升码头的绿色化智能化水平，推进</w:t>
      </w:r>
      <w:r w:rsidR="00256864" w:rsidRPr="00F64E77">
        <w:rPr>
          <w:rFonts w:hint="eastAsia"/>
          <w:sz w:val="28"/>
          <w:szCs w:val="28"/>
        </w:rPr>
        <w:t>节能降碳改造，建造低碳（近零碳）码头；</w:t>
      </w:r>
      <w:r w:rsidRPr="00F64E77">
        <w:rPr>
          <w:sz w:val="28"/>
          <w:szCs w:val="28"/>
        </w:rPr>
        <w:t>推动船舶采用清洁动力，加快淘汰老旧运输工具，推进零排放货运</w:t>
      </w:r>
      <w:r w:rsidR="003A1FE5" w:rsidRPr="00F64E77">
        <w:rPr>
          <w:rFonts w:hint="eastAsia"/>
          <w:sz w:val="28"/>
          <w:szCs w:val="28"/>
        </w:rPr>
        <w:t>，</w:t>
      </w:r>
      <w:r w:rsidRPr="00F64E77">
        <w:rPr>
          <w:sz w:val="28"/>
          <w:szCs w:val="28"/>
        </w:rPr>
        <w:t>鼓励净零排放船用燃料研发生产应用</w:t>
      </w:r>
      <w:r w:rsidR="004E2A51" w:rsidRPr="00F64E77">
        <w:rPr>
          <w:rFonts w:hint="eastAsia"/>
          <w:sz w:val="28"/>
          <w:szCs w:val="28"/>
        </w:rPr>
        <w:t>；要求</w:t>
      </w:r>
      <w:r w:rsidRPr="00F64E77">
        <w:rPr>
          <w:sz w:val="28"/>
          <w:szCs w:val="28"/>
        </w:rPr>
        <w:t>到2030年，营运交通工具单位换算周转量碳排放强度比2020年下降9.5%左右。</w:t>
      </w:r>
    </w:p>
    <w:p w14:paraId="7C80484D" w14:textId="6EA1ECCD" w:rsidR="000F1DC0" w:rsidRPr="003F18C4" w:rsidRDefault="00357E00" w:rsidP="000F1DC0">
      <w:pPr>
        <w:pStyle w:val="3"/>
        <w:numPr>
          <w:ilvl w:val="0"/>
          <w:numId w:val="3"/>
        </w:numPr>
        <w:spacing w:before="156" w:after="156"/>
        <w:rPr>
          <w:rFonts w:asciiTheme="majorHAnsi" w:eastAsiaTheme="majorHAnsi" w:hAnsiTheme="majorHAnsi" w:hint="eastAsia"/>
          <w:sz w:val="28"/>
          <w:szCs w:val="28"/>
        </w:rPr>
      </w:pPr>
      <w:r w:rsidRPr="003F18C4">
        <w:rPr>
          <w:rFonts w:asciiTheme="majorHAnsi" w:eastAsiaTheme="majorHAnsi" w:hAnsiTheme="majorHAnsi" w:hint="eastAsia"/>
          <w:sz w:val="28"/>
          <w:szCs w:val="28"/>
        </w:rPr>
        <w:t>全球气候治理机制</w:t>
      </w:r>
      <w:r w:rsidR="00CC004A" w:rsidRPr="003F18C4">
        <w:rPr>
          <w:rFonts w:asciiTheme="majorHAnsi" w:eastAsiaTheme="majorHAnsi" w:hAnsiTheme="majorHAnsi" w:hint="eastAsia"/>
          <w:sz w:val="28"/>
          <w:szCs w:val="28"/>
        </w:rPr>
        <w:t>推高</w:t>
      </w:r>
      <w:r w:rsidRPr="003F18C4">
        <w:rPr>
          <w:rFonts w:asciiTheme="majorHAnsi" w:eastAsiaTheme="majorHAnsi" w:hAnsiTheme="majorHAnsi" w:hint="eastAsia"/>
          <w:sz w:val="28"/>
          <w:szCs w:val="28"/>
        </w:rPr>
        <w:t>航运成本</w:t>
      </w:r>
    </w:p>
    <w:p w14:paraId="34235871" w14:textId="42F4EBE6" w:rsidR="009870DF" w:rsidRPr="00F64E77" w:rsidRDefault="000F1DC0" w:rsidP="00DC11E0">
      <w:pPr>
        <w:pStyle w:val="-05-15"/>
        <w:ind w:firstLine="560"/>
        <w:rPr>
          <w:rFonts w:hint="eastAsia"/>
          <w:sz w:val="28"/>
          <w:szCs w:val="28"/>
        </w:rPr>
      </w:pPr>
      <w:r w:rsidRPr="00F64E77">
        <w:rPr>
          <w:rFonts w:hint="eastAsia"/>
          <w:sz w:val="28"/>
          <w:szCs w:val="28"/>
        </w:rPr>
        <w:t>全球气候治理</w:t>
      </w:r>
      <w:r w:rsidR="00CC004A" w:rsidRPr="00F64E77">
        <w:rPr>
          <w:rFonts w:hint="eastAsia"/>
          <w:sz w:val="28"/>
          <w:szCs w:val="28"/>
        </w:rPr>
        <w:t>机制</w:t>
      </w:r>
      <w:r w:rsidR="008E4AFA">
        <w:rPr>
          <w:rFonts w:hint="eastAsia"/>
          <w:sz w:val="28"/>
          <w:szCs w:val="28"/>
        </w:rPr>
        <w:t>，</w:t>
      </w:r>
      <w:r w:rsidR="008E4AFA" w:rsidRPr="00F64E77">
        <w:rPr>
          <w:rFonts w:hint="eastAsia"/>
          <w:sz w:val="28"/>
          <w:szCs w:val="28"/>
        </w:rPr>
        <w:t>比如碳市场、</w:t>
      </w:r>
      <w:r w:rsidR="008E4AFA" w:rsidRPr="00F64E77">
        <w:rPr>
          <w:sz w:val="28"/>
          <w:szCs w:val="28"/>
        </w:rPr>
        <w:t>碳关税</w:t>
      </w:r>
      <w:r w:rsidR="008E4AFA">
        <w:rPr>
          <w:rFonts w:hint="eastAsia"/>
          <w:sz w:val="28"/>
          <w:szCs w:val="28"/>
        </w:rPr>
        <w:t>，</w:t>
      </w:r>
      <w:r w:rsidRPr="00F64E77">
        <w:rPr>
          <w:rFonts w:hint="eastAsia"/>
          <w:sz w:val="28"/>
          <w:szCs w:val="28"/>
        </w:rPr>
        <w:t>是</w:t>
      </w:r>
      <w:r w:rsidR="008E4AFA">
        <w:rPr>
          <w:rFonts w:hint="eastAsia"/>
          <w:sz w:val="28"/>
          <w:szCs w:val="28"/>
        </w:rPr>
        <w:t>推动</w:t>
      </w:r>
      <w:r w:rsidR="00BE5F72">
        <w:rPr>
          <w:rFonts w:hint="eastAsia"/>
          <w:sz w:val="28"/>
          <w:szCs w:val="28"/>
        </w:rPr>
        <w:t>企业营运</w:t>
      </w:r>
      <w:r w:rsidR="008E4AFA">
        <w:rPr>
          <w:rFonts w:hint="eastAsia"/>
          <w:sz w:val="28"/>
          <w:szCs w:val="28"/>
        </w:rPr>
        <w:t>成本上升的重要因素之一。</w:t>
      </w:r>
      <w:r w:rsidR="00135D83">
        <w:rPr>
          <w:rFonts w:hint="eastAsia"/>
          <w:sz w:val="28"/>
          <w:szCs w:val="28"/>
        </w:rPr>
        <w:t>以</w:t>
      </w:r>
      <w:r w:rsidR="00135D83" w:rsidRPr="00F64E77">
        <w:rPr>
          <w:sz w:val="28"/>
          <w:szCs w:val="28"/>
        </w:rPr>
        <w:t>欧盟碳排放交易</w:t>
      </w:r>
      <w:r w:rsidR="00135D83">
        <w:rPr>
          <w:rFonts w:hint="eastAsia"/>
          <w:sz w:val="28"/>
          <w:szCs w:val="28"/>
        </w:rPr>
        <w:t>市场</w:t>
      </w:r>
      <w:r w:rsidR="00135D83" w:rsidRPr="00F64E77">
        <w:rPr>
          <w:sz w:val="28"/>
          <w:szCs w:val="28"/>
        </w:rPr>
        <w:t>（EU-ETS）</w:t>
      </w:r>
      <w:r w:rsidR="00135D83">
        <w:rPr>
          <w:rFonts w:hint="eastAsia"/>
          <w:sz w:val="28"/>
          <w:szCs w:val="28"/>
        </w:rPr>
        <w:t>为例，该机制</w:t>
      </w:r>
      <w:r w:rsidR="00837CC4">
        <w:rPr>
          <w:rFonts w:hint="eastAsia"/>
          <w:sz w:val="28"/>
          <w:szCs w:val="28"/>
        </w:rPr>
        <w:t>自</w:t>
      </w:r>
      <w:r w:rsidRPr="00F64E77">
        <w:rPr>
          <w:sz w:val="28"/>
          <w:szCs w:val="28"/>
        </w:rPr>
        <w:t>2024年1月1日起</w:t>
      </w:r>
      <w:r w:rsidR="00135D83">
        <w:rPr>
          <w:rFonts w:hint="eastAsia"/>
          <w:sz w:val="28"/>
          <w:szCs w:val="28"/>
        </w:rPr>
        <w:t>将</w:t>
      </w:r>
      <w:r w:rsidRPr="00F64E77">
        <w:rPr>
          <w:sz w:val="28"/>
          <w:szCs w:val="28"/>
        </w:rPr>
        <w:t>所有</w:t>
      </w:r>
      <w:r w:rsidR="00135D83">
        <w:rPr>
          <w:rFonts w:hint="eastAsia"/>
          <w:sz w:val="28"/>
          <w:szCs w:val="28"/>
        </w:rPr>
        <w:t>进入欧盟港口的</w:t>
      </w:r>
      <w:r w:rsidRPr="00F64E77">
        <w:rPr>
          <w:sz w:val="28"/>
          <w:szCs w:val="28"/>
        </w:rPr>
        <w:t>5000总吨（GT）及以上的商用船舶</w:t>
      </w:r>
      <w:r w:rsidR="00135D83">
        <w:rPr>
          <w:rFonts w:hint="eastAsia"/>
          <w:sz w:val="28"/>
          <w:szCs w:val="28"/>
        </w:rPr>
        <w:t>都纳入交易系统中，并规定</w:t>
      </w:r>
      <w:r w:rsidR="002A683A" w:rsidRPr="00F64E77">
        <w:rPr>
          <w:rFonts w:hint="eastAsia"/>
          <w:sz w:val="28"/>
          <w:szCs w:val="28"/>
        </w:rPr>
        <w:t>2</w:t>
      </w:r>
      <w:r w:rsidR="002A683A" w:rsidRPr="00F64E77">
        <w:rPr>
          <w:sz w:val="28"/>
          <w:szCs w:val="28"/>
        </w:rPr>
        <w:t>024-2026</w:t>
      </w:r>
      <w:r w:rsidR="00135D83">
        <w:rPr>
          <w:rFonts w:hint="eastAsia"/>
          <w:sz w:val="28"/>
          <w:szCs w:val="28"/>
        </w:rPr>
        <w:t>年船运企业</w:t>
      </w:r>
      <w:r w:rsidR="002A683A" w:rsidRPr="00F64E77">
        <w:rPr>
          <w:rFonts w:hint="eastAsia"/>
          <w:sz w:val="28"/>
          <w:szCs w:val="28"/>
        </w:rPr>
        <w:t>分别按照排放总量4</w:t>
      </w:r>
      <w:r w:rsidR="002A683A" w:rsidRPr="00F64E77">
        <w:rPr>
          <w:sz w:val="28"/>
          <w:szCs w:val="28"/>
        </w:rPr>
        <w:t>0%</w:t>
      </w:r>
      <w:r w:rsidR="002A683A" w:rsidRPr="00F64E77">
        <w:rPr>
          <w:rFonts w:hint="eastAsia"/>
          <w:sz w:val="28"/>
          <w:szCs w:val="28"/>
        </w:rPr>
        <w:t>、7</w:t>
      </w:r>
      <w:r w:rsidR="002A683A" w:rsidRPr="00F64E77">
        <w:rPr>
          <w:sz w:val="28"/>
          <w:szCs w:val="28"/>
        </w:rPr>
        <w:t>0%</w:t>
      </w:r>
      <w:r w:rsidR="002A683A" w:rsidRPr="00F64E77">
        <w:rPr>
          <w:rFonts w:hint="eastAsia"/>
          <w:sz w:val="28"/>
          <w:szCs w:val="28"/>
        </w:rPr>
        <w:t>、1</w:t>
      </w:r>
      <w:r w:rsidR="002A683A" w:rsidRPr="00F64E77">
        <w:rPr>
          <w:sz w:val="28"/>
          <w:szCs w:val="28"/>
        </w:rPr>
        <w:t>00%</w:t>
      </w:r>
      <w:r w:rsidR="002A683A" w:rsidRPr="00F64E77">
        <w:rPr>
          <w:rFonts w:hint="eastAsia"/>
          <w:sz w:val="28"/>
          <w:szCs w:val="28"/>
        </w:rPr>
        <w:t>清缴</w:t>
      </w:r>
      <w:r w:rsidRPr="00F64E77">
        <w:rPr>
          <w:sz w:val="28"/>
          <w:szCs w:val="28"/>
        </w:rPr>
        <w:t>碳配额。</w:t>
      </w:r>
      <w:r w:rsidRPr="00F64E77">
        <w:rPr>
          <w:rFonts w:hint="eastAsia"/>
          <w:sz w:val="28"/>
          <w:szCs w:val="28"/>
        </w:rPr>
        <w:t>2</w:t>
      </w:r>
      <w:r w:rsidRPr="00F64E77">
        <w:rPr>
          <w:sz w:val="28"/>
          <w:szCs w:val="28"/>
        </w:rPr>
        <w:t>023</w:t>
      </w:r>
      <w:r w:rsidRPr="00F64E77">
        <w:rPr>
          <w:rFonts w:hint="eastAsia"/>
          <w:sz w:val="28"/>
          <w:szCs w:val="28"/>
        </w:rPr>
        <w:t>年</w:t>
      </w:r>
      <w:r w:rsidR="002A683A" w:rsidRPr="00F64E77">
        <w:rPr>
          <w:rFonts w:hint="eastAsia"/>
          <w:sz w:val="28"/>
          <w:szCs w:val="28"/>
        </w:rPr>
        <w:t>，</w:t>
      </w:r>
      <w:r w:rsidRPr="00F64E77">
        <w:rPr>
          <w:rFonts w:hint="eastAsia"/>
          <w:sz w:val="28"/>
          <w:szCs w:val="28"/>
        </w:rPr>
        <w:t>欧盟理事会通过了“</w:t>
      </w:r>
      <w:r w:rsidRPr="00F64E77">
        <w:rPr>
          <w:sz w:val="28"/>
          <w:szCs w:val="28"/>
        </w:rPr>
        <w:t>FuelEU maritime</w:t>
      </w:r>
      <w:r w:rsidRPr="00F64E77">
        <w:rPr>
          <w:rFonts w:hint="eastAsia"/>
          <w:sz w:val="28"/>
          <w:szCs w:val="28"/>
        </w:rPr>
        <w:t>”法规，以促进航运业增加可再生能源和低碳燃料的使用</w:t>
      </w:r>
      <w:r w:rsidR="002A683A" w:rsidRPr="00F64E77">
        <w:rPr>
          <w:rFonts w:hint="eastAsia"/>
          <w:sz w:val="28"/>
          <w:szCs w:val="28"/>
        </w:rPr>
        <w:t>，</w:t>
      </w:r>
      <w:r w:rsidRPr="00F64E77">
        <w:rPr>
          <w:rFonts w:hint="eastAsia"/>
          <w:sz w:val="28"/>
          <w:szCs w:val="28"/>
        </w:rPr>
        <w:t>将于2</w:t>
      </w:r>
      <w:r w:rsidRPr="00F64E77">
        <w:rPr>
          <w:sz w:val="28"/>
          <w:szCs w:val="28"/>
        </w:rPr>
        <w:t>025</w:t>
      </w:r>
      <w:r w:rsidRPr="00F64E77">
        <w:rPr>
          <w:rFonts w:hint="eastAsia"/>
          <w:sz w:val="28"/>
          <w:szCs w:val="28"/>
        </w:rPr>
        <w:t>年1月1日实施，衡量指标是全年平均燃料温室气体强度，要求到</w:t>
      </w:r>
      <w:r w:rsidRPr="00F64E77">
        <w:rPr>
          <w:sz w:val="28"/>
          <w:szCs w:val="28"/>
        </w:rPr>
        <w:t>2050年</w:t>
      </w:r>
      <w:r w:rsidRPr="00F64E77">
        <w:rPr>
          <w:rFonts w:hint="eastAsia"/>
          <w:sz w:val="28"/>
          <w:szCs w:val="28"/>
        </w:rPr>
        <w:t>下降</w:t>
      </w:r>
      <w:r w:rsidRPr="00F64E77">
        <w:rPr>
          <w:sz w:val="28"/>
          <w:szCs w:val="28"/>
        </w:rPr>
        <w:t>80%。</w:t>
      </w:r>
      <w:r w:rsidR="00135D83">
        <w:rPr>
          <w:rFonts w:hint="eastAsia"/>
          <w:sz w:val="28"/>
          <w:szCs w:val="28"/>
        </w:rPr>
        <w:t>这</w:t>
      </w:r>
      <w:r w:rsidR="00993F33">
        <w:rPr>
          <w:rFonts w:hint="eastAsia"/>
          <w:sz w:val="28"/>
          <w:szCs w:val="28"/>
        </w:rPr>
        <w:t>一系</w:t>
      </w:r>
      <w:r w:rsidR="00135D83">
        <w:rPr>
          <w:rFonts w:hint="eastAsia"/>
          <w:sz w:val="28"/>
          <w:szCs w:val="28"/>
        </w:rPr>
        <w:t>列</w:t>
      </w:r>
      <w:r w:rsidR="00DC11E0">
        <w:rPr>
          <w:rFonts w:hint="eastAsia"/>
          <w:sz w:val="28"/>
          <w:szCs w:val="28"/>
        </w:rPr>
        <w:t>治理</w:t>
      </w:r>
      <w:r w:rsidR="00135D83">
        <w:rPr>
          <w:rFonts w:hint="eastAsia"/>
          <w:sz w:val="28"/>
          <w:szCs w:val="28"/>
        </w:rPr>
        <w:t>措施</w:t>
      </w:r>
      <w:r w:rsidR="00DC11E0">
        <w:rPr>
          <w:rFonts w:hint="eastAsia"/>
          <w:sz w:val="28"/>
          <w:szCs w:val="28"/>
        </w:rPr>
        <w:t>在</w:t>
      </w:r>
      <w:r w:rsidR="00DC11E0" w:rsidRPr="00BE5F72">
        <w:rPr>
          <w:sz w:val="28"/>
          <w:szCs w:val="28"/>
        </w:rPr>
        <w:t>激</w:t>
      </w:r>
      <w:r w:rsidR="00DC11E0" w:rsidRPr="00BE5F72">
        <w:rPr>
          <w:sz w:val="28"/>
          <w:szCs w:val="28"/>
        </w:rPr>
        <w:lastRenderedPageBreak/>
        <w:t>励</w:t>
      </w:r>
      <w:r w:rsidR="00666C46">
        <w:rPr>
          <w:rFonts w:hint="eastAsia"/>
          <w:sz w:val="28"/>
          <w:szCs w:val="28"/>
        </w:rPr>
        <w:t>航运</w:t>
      </w:r>
      <w:r w:rsidR="00DC11E0" w:rsidRPr="00BE5F72">
        <w:rPr>
          <w:sz w:val="28"/>
          <w:szCs w:val="28"/>
        </w:rPr>
        <w:t>企业减排</w:t>
      </w:r>
      <w:r w:rsidR="00DC11E0">
        <w:rPr>
          <w:rFonts w:hint="eastAsia"/>
          <w:sz w:val="28"/>
          <w:szCs w:val="28"/>
        </w:rPr>
        <w:t>的同时，</w:t>
      </w:r>
      <w:r w:rsidR="00135D83" w:rsidRPr="00135D83">
        <w:rPr>
          <w:sz w:val="28"/>
          <w:szCs w:val="28"/>
        </w:rPr>
        <w:t>将直接增加</w:t>
      </w:r>
      <w:r w:rsidR="00135D83">
        <w:rPr>
          <w:rFonts w:hint="eastAsia"/>
          <w:sz w:val="28"/>
          <w:szCs w:val="28"/>
        </w:rPr>
        <w:t>企业</w:t>
      </w:r>
      <w:r w:rsidR="00135D83" w:rsidRPr="00135D83">
        <w:rPr>
          <w:sz w:val="28"/>
          <w:szCs w:val="28"/>
        </w:rPr>
        <w:t>购买碳排放配额的成本，同时</w:t>
      </w:r>
      <w:r w:rsidR="00135D83">
        <w:rPr>
          <w:rFonts w:hint="eastAsia"/>
          <w:sz w:val="28"/>
          <w:szCs w:val="28"/>
        </w:rPr>
        <w:t>也增加了企业</w:t>
      </w:r>
      <w:r w:rsidR="00135D83" w:rsidRPr="00135D83">
        <w:rPr>
          <w:sz w:val="28"/>
          <w:szCs w:val="28"/>
        </w:rPr>
        <w:t>投资清洁技术和燃料</w:t>
      </w:r>
      <w:r w:rsidR="00666C46">
        <w:rPr>
          <w:rFonts w:hint="eastAsia"/>
          <w:sz w:val="28"/>
          <w:szCs w:val="28"/>
        </w:rPr>
        <w:t>的成本</w:t>
      </w:r>
      <w:r w:rsidR="00135D83" w:rsidRPr="00135D83">
        <w:rPr>
          <w:sz w:val="28"/>
          <w:szCs w:val="28"/>
        </w:rPr>
        <w:t>以及相关的合规和管理费用，从而整体提高了</w:t>
      </w:r>
      <w:r w:rsidR="00666C46">
        <w:rPr>
          <w:rFonts w:hint="eastAsia"/>
          <w:sz w:val="28"/>
          <w:szCs w:val="28"/>
        </w:rPr>
        <w:t>航运</w:t>
      </w:r>
      <w:r w:rsidR="00135D83">
        <w:rPr>
          <w:rFonts w:hint="eastAsia"/>
          <w:sz w:val="28"/>
          <w:szCs w:val="28"/>
        </w:rPr>
        <w:t>企业</w:t>
      </w:r>
      <w:r w:rsidR="00666C46">
        <w:rPr>
          <w:rFonts w:hint="eastAsia"/>
          <w:sz w:val="28"/>
          <w:szCs w:val="28"/>
        </w:rPr>
        <w:t>的</w:t>
      </w:r>
      <w:r w:rsidR="00135D83" w:rsidRPr="00135D83">
        <w:rPr>
          <w:sz w:val="28"/>
          <w:szCs w:val="28"/>
        </w:rPr>
        <w:t>运营成本</w:t>
      </w:r>
      <w:r w:rsidR="00135D83">
        <w:rPr>
          <w:rFonts w:hint="eastAsia"/>
          <w:sz w:val="28"/>
          <w:szCs w:val="28"/>
        </w:rPr>
        <w:t>。</w:t>
      </w:r>
    </w:p>
    <w:p w14:paraId="01D5AD8D" w14:textId="256976AF" w:rsidR="000F1DC0" w:rsidRPr="00F64E77" w:rsidRDefault="00B83337" w:rsidP="002933E9">
      <w:pPr>
        <w:pStyle w:val="-05-15"/>
        <w:ind w:firstLine="560"/>
        <w:rPr>
          <w:rFonts w:hint="eastAsia"/>
          <w:sz w:val="28"/>
          <w:szCs w:val="28"/>
        </w:rPr>
      </w:pPr>
      <w:r>
        <w:rPr>
          <w:rFonts w:hint="eastAsia"/>
          <w:sz w:val="28"/>
          <w:szCs w:val="28"/>
        </w:rPr>
        <w:t>当前</w:t>
      </w:r>
      <w:r w:rsidR="00537F23">
        <w:rPr>
          <w:rFonts w:hint="eastAsia"/>
          <w:sz w:val="28"/>
          <w:szCs w:val="28"/>
        </w:rPr>
        <w:t>，</w:t>
      </w:r>
      <w:r w:rsidR="000F1DC0" w:rsidRPr="00F64E77">
        <w:rPr>
          <w:rFonts w:hint="eastAsia"/>
          <w:sz w:val="28"/>
          <w:szCs w:val="28"/>
        </w:rPr>
        <w:t>马士基</w:t>
      </w:r>
      <w:r w:rsidR="003F18C4" w:rsidRPr="003F18C4">
        <w:rPr>
          <w:rFonts w:hint="eastAsia"/>
          <w:sz w:val="28"/>
          <w:szCs w:val="28"/>
        </w:rPr>
        <w:t>（</w:t>
      </w:r>
      <w:r w:rsidR="003F18C4" w:rsidRPr="003F18C4">
        <w:rPr>
          <w:sz w:val="28"/>
          <w:szCs w:val="28"/>
        </w:rPr>
        <w:t>Maersk）</w:t>
      </w:r>
      <w:r>
        <w:rPr>
          <w:rFonts w:hint="eastAsia"/>
          <w:sz w:val="28"/>
          <w:szCs w:val="28"/>
        </w:rPr>
        <w:t>与</w:t>
      </w:r>
      <w:r w:rsidR="000F1DC0" w:rsidRPr="00F64E77">
        <w:rPr>
          <w:sz w:val="28"/>
          <w:szCs w:val="28"/>
        </w:rPr>
        <w:t>世界航运理事会（the World Shipping Council</w:t>
      </w:r>
      <w:r w:rsidR="00537F23">
        <w:rPr>
          <w:rFonts w:hint="eastAsia"/>
          <w:sz w:val="28"/>
          <w:szCs w:val="28"/>
        </w:rPr>
        <w:t>，简称WSC</w:t>
      </w:r>
      <w:r w:rsidR="000F1DC0" w:rsidRPr="00F64E77">
        <w:rPr>
          <w:sz w:val="28"/>
          <w:szCs w:val="28"/>
        </w:rPr>
        <w:t>）的其他成员</w:t>
      </w:r>
      <w:r>
        <w:rPr>
          <w:rFonts w:hint="eastAsia"/>
          <w:sz w:val="28"/>
          <w:szCs w:val="28"/>
        </w:rPr>
        <w:t>共同</w:t>
      </w:r>
      <w:r w:rsidR="000F1DC0" w:rsidRPr="00F64E77">
        <w:rPr>
          <w:sz w:val="28"/>
          <w:szCs w:val="28"/>
        </w:rPr>
        <w:t>提</w:t>
      </w:r>
      <w:r w:rsidR="005E35FE">
        <w:rPr>
          <w:rFonts w:hint="eastAsia"/>
          <w:sz w:val="28"/>
          <w:szCs w:val="28"/>
        </w:rPr>
        <w:t>出了</w:t>
      </w:r>
      <w:r w:rsidR="000F1DC0" w:rsidRPr="00F64E77">
        <w:rPr>
          <w:sz w:val="28"/>
          <w:szCs w:val="28"/>
        </w:rPr>
        <w:t>绿色平衡机制</w:t>
      </w:r>
      <w:r>
        <w:rPr>
          <w:rFonts w:hint="eastAsia"/>
          <w:sz w:val="28"/>
          <w:szCs w:val="28"/>
        </w:rPr>
        <w:t>，这</w:t>
      </w:r>
      <w:r w:rsidR="002933E9" w:rsidRPr="002933E9">
        <w:rPr>
          <w:sz w:val="28"/>
          <w:szCs w:val="28"/>
        </w:rPr>
        <w:t>是一种</w:t>
      </w:r>
      <w:r>
        <w:rPr>
          <w:rFonts w:hint="eastAsia"/>
          <w:sz w:val="28"/>
          <w:szCs w:val="28"/>
        </w:rPr>
        <w:t>基于</w:t>
      </w:r>
      <w:r w:rsidRPr="002933E9">
        <w:rPr>
          <w:sz w:val="28"/>
          <w:szCs w:val="28"/>
        </w:rPr>
        <w:t>船舶的化石燃料消耗量</w:t>
      </w:r>
      <w:r>
        <w:rPr>
          <w:rFonts w:hint="eastAsia"/>
          <w:sz w:val="28"/>
          <w:szCs w:val="28"/>
        </w:rPr>
        <w:t>征费</w:t>
      </w:r>
      <w:r w:rsidR="002933E9" w:rsidRPr="002933E9">
        <w:rPr>
          <w:sz w:val="28"/>
          <w:szCs w:val="28"/>
        </w:rPr>
        <w:t>的</w:t>
      </w:r>
      <w:r>
        <w:rPr>
          <w:rFonts w:hint="eastAsia"/>
          <w:sz w:val="28"/>
          <w:szCs w:val="28"/>
        </w:rPr>
        <w:t>新型</w:t>
      </w:r>
      <w:r w:rsidR="002933E9" w:rsidRPr="002933E9">
        <w:rPr>
          <w:sz w:val="28"/>
          <w:szCs w:val="28"/>
        </w:rPr>
        <w:t>温室气体定价方法</w:t>
      </w:r>
      <w:r>
        <w:rPr>
          <w:rFonts w:hint="eastAsia"/>
          <w:sz w:val="28"/>
          <w:szCs w:val="28"/>
        </w:rPr>
        <w:t>。</w:t>
      </w:r>
      <w:r w:rsidRPr="00B83337">
        <w:rPr>
          <w:sz w:val="28"/>
          <w:szCs w:val="28"/>
        </w:rPr>
        <w:t>该机制旨在通过将收取的费用分配给使用绿色燃料的船舶，缩小化石与绿色燃料之间的价格差异，降低运输成本，从而激励航运公司尽可能使用绿色燃料</w:t>
      </w:r>
      <w:r w:rsidR="002933E9">
        <w:rPr>
          <w:rFonts w:hint="eastAsia"/>
          <w:sz w:val="28"/>
          <w:szCs w:val="28"/>
        </w:rPr>
        <w:t>。</w:t>
      </w:r>
      <w:r w:rsidR="002933E9" w:rsidRPr="002933E9">
        <w:rPr>
          <w:sz w:val="28"/>
          <w:szCs w:val="28"/>
        </w:rPr>
        <w:t>同时，该机制还</w:t>
      </w:r>
      <w:r w:rsidR="00FA17DF">
        <w:rPr>
          <w:rFonts w:hint="eastAsia"/>
          <w:sz w:val="28"/>
          <w:szCs w:val="28"/>
        </w:rPr>
        <w:t>支持</w:t>
      </w:r>
      <w:r w:rsidR="002933E9" w:rsidRPr="002933E9">
        <w:rPr>
          <w:sz w:val="28"/>
          <w:szCs w:val="28"/>
        </w:rPr>
        <w:t>为各种</w:t>
      </w:r>
      <w:r w:rsidR="00FA17DF" w:rsidRPr="002933E9">
        <w:rPr>
          <w:sz w:val="28"/>
          <w:szCs w:val="28"/>
        </w:rPr>
        <w:t>气候</w:t>
      </w:r>
      <w:r w:rsidR="002933E9" w:rsidRPr="002933E9">
        <w:rPr>
          <w:sz w:val="28"/>
          <w:szCs w:val="28"/>
        </w:rPr>
        <w:t>改善</w:t>
      </w:r>
      <w:r w:rsidR="00FA17DF">
        <w:rPr>
          <w:rFonts w:hint="eastAsia"/>
          <w:sz w:val="28"/>
          <w:szCs w:val="28"/>
        </w:rPr>
        <w:t>措施</w:t>
      </w:r>
      <w:r w:rsidR="002933E9" w:rsidRPr="002933E9">
        <w:rPr>
          <w:sz w:val="28"/>
          <w:szCs w:val="28"/>
        </w:rPr>
        <w:t>及研发</w:t>
      </w:r>
      <w:r w:rsidR="00FA17DF">
        <w:rPr>
          <w:rFonts w:hint="eastAsia"/>
          <w:sz w:val="28"/>
          <w:szCs w:val="28"/>
        </w:rPr>
        <w:t>和</w:t>
      </w:r>
      <w:r w:rsidR="002933E9" w:rsidRPr="002933E9">
        <w:rPr>
          <w:sz w:val="28"/>
          <w:szCs w:val="28"/>
        </w:rPr>
        <w:t>示范项目筹集资金，以</w:t>
      </w:r>
      <w:r w:rsidR="00FA17DF">
        <w:rPr>
          <w:rFonts w:hint="eastAsia"/>
          <w:sz w:val="28"/>
          <w:szCs w:val="28"/>
        </w:rPr>
        <w:t>为航运业</w:t>
      </w:r>
      <w:r w:rsidR="002933E9" w:rsidRPr="002933E9">
        <w:rPr>
          <w:sz w:val="28"/>
          <w:szCs w:val="28"/>
        </w:rPr>
        <w:t>提供公正、公平的脱碳过渡阶段的市场环境</w:t>
      </w:r>
      <w:r>
        <w:rPr>
          <w:rFonts w:hint="eastAsia"/>
          <w:sz w:val="28"/>
          <w:szCs w:val="28"/>
        </w:rPr>
        <w:t>。</w:t>
      </w:r>
      <w:r w:rsidR="002933E9" w:rsidRPr="002933E9">
        <w:rPr>
          <w:sz w:val="28"/>
          <w:szCs w:val="28"/>
        </w:rPr>
        <w:t>目前</w:t>
      </w:r>
      <w:r w:rsidR="00FB2FB0">
        <w:rPr>
          <w:rFonts w:hint="eastAsia"/>
          <w:sz w:val="28"/>
          <w:szCs w:val="28"/>
        </w:rPr>
        <w:t>这一机制</w:t>
      </w:r>
      <w:r w:rsidR="002933E9" w:rsidRPr="002933E9">
        <w:rPr>
          <w:sz w:val="28"/>
          <w:szCs w:val="28"/>
        </w:rPr>
        <w:t>已得到了13家</w:t>
      </w:r>
      <w:r w:rsidR="002933E9">
        <w:rPr>
          <w:rFonts w:hint="eastAsia"/>
          <w:sz w:val="28"/>
          <w:szCs w:val="28"/>
        </w:rPr>
        <w:t>船运企业</w:t>
      </w:r>
      <w:r w:rsidR="002933E9" w:rsidRPr="002933E9">
        <w:rPr>
          <w:sz w:val="28"/>
          <w:szCs w:val="28"/>
        </w:rPr>
        <w:t>的支持。</w:t>
      </w:r>
      <w:r w:rsidR="002933E9">
        <w:rPr>
          <w:rFonts w:hint="eastAsia"/>
          <w:sz w:val="28"/>
          <w:szCs w:val="28"/>
        </w:rPr>
        <w:t>该机制</w:t>
      </w:r>
      <w:r w:rsidR="000F1DC0" w:rsidRPr="00F64E77">
        <w:rPr>
          <w:rFonts w:hint="eastAsia"/>
          <w:sz w:val="28"/>
          <w:szCs w:val="28"/>
        </w:rPr>
        <w:t>与</w:t>
      </w:r>
      <w:r w:rsidR="00357E00" w:rsidRPr="00F64E77">
        <w:rPr>
          <w:rFonts w:hint="eastAsia"/>
          <w:sz w:val="28"/>
          <w:szCs w:val="28"/>
        </w:rPr>
        <w:t>国际航空碳抵消和减排计划（</w:t>
      </w:r>
      <w:r w:rsidR="00357E00" w:rsidRPr="00F64E77">
        <w:rPr>
          <w:sz w:val="28"/>
          <w:szCs w:val="28"/>
        </w:rPr>
        <w:t>CORSIA）</w:t>
      </w:r>
      <w:r w:rsidR="000F1DC0" w:rsidRPr="00F64E77">
        <w:rPr>
          <w:rFonts w:hint="eastAsia"/>
          <w:sz w:val="28"/>
          <w:szCs w:val="28"/>
        </w:rPr>
        <w:t>类似，即减排落后的企业将为</w:t>
      </w:r>
      <w:r w:rsidR="000C065F">
        <w:rPr>
          <w:rFonts w:hint="eastAsia"/>
          <w:sz w:val="28"/>
          <w:szCs w:val="28"/>
        </w:rPr>
        <w:t>碳减排、</w:t>
      </w:r>
      <w:r w:rsidR="000F1DC0" w:rsidRPr="00F64E77">
        <w:rPr>
          <w:rFonts w:hint="eastAsia"/>
          <w:sz w:val="28"/>
          <w:szCs w:val="28"/>
        </w:rPr>
        <w:t>碳抵消支付大量资金，</w:t>
      </w:r>
      <w:r w:rsidR="005255C7">
        <w:rPr>
          <w:rFonts w:hint="eastAsia"/>
          <w:sz w:val="28"/>
          <w:szCs w:val="28"/>
        </w:rPr>
        <w:t>也将</w:t>
      </w:r>
      <w:r w:rsidR="005255C7" w:rsidRPr="00F64E77">
        <w:rPr>
          <w:rFonts w:hint="eastAsia"/>
          <w:sz w:val="28"/>
          <w:szCs w:val="28"/>
        </w:rPr>
        <w:t>大幅增加</w:t>
      </w:r>
      <w:r w:rsidR="005255C7">
        <w:rPr>
          <w:rFonts w:hint="eastAsia"/>
          <w:sz w:val="28"/>
          <w:szCs w:val="28"/>
        </w:rPr>
        <w:t>企业</w:t>
      </w:r>
      <w:r w:rsidR="000F1DC0" w:rsidRPr="00F64E77">
        <w:rPr>
          <w:rFonts w:hint="eastAsia"/>
          <w:sz w:val="28"/>
          <w:szCs w:val="28"/>
        </w:rPr>
        <w:t>运营成本。</w:t>
      </w:r>
    </w:p>
    <w:p w14:paraId="2970AA07" w14:textId="3856184C" w:rsidR="00357E00" w:rsidRPr="003F18C4" w:rsidRDefault="00357E00" w:rsidP="00357E00">
      <w:pPr>
        <w:pStyle w:val="3"/>
        <w:numPr>
          <w:ilvl w:val="0"/>
          <w:numId w:val="3"/>
        </w:numPr>
        <w:spacing w:before="156" w:after="156"/>
        <w:rPr>
          <w:rFonts w:asciiTheme="majorHAnsi" w:eastAsiaTheme="majorHAnsi" w:hAnsiTheme="majorHAnsi" w:hint="eastAsia"/>
          <w:sz w:val="28"/>
          <w:szCs w:val="28"/>
        </w:rPr>
      </w:pPr>
      <w:r w:rsidRPr="003F18C4">
        <w:rPr>
          <w:rFonts w:asciiTheme="majorHAnsi" w:eastAsiaTheme="majorHAnsi" w:hAnsiTheme="majorHAnsi" w:hint="eastAsia"/>
          <w:sz w:val="28"/>
          <w:szCs w:val="28"/>
        </w:rPr>
        <w:t>绿色偏好客户或将抛弃高碳承运人</w:t>
      </w:r>
    </w:p>
    <w:p w14:paraId="6CD7B275" w14:textId="7ACE1D16" w:rsidR="000F1DC0" w:rsidRPr="00FA4665" w:rsidRDefault="00B558A7" w:rsidP="00B558A7">
      <w:pPr>
        <w:pStyle w:val="-05-15"/>
        <w:ind w:firstLine="560"/>
        <w:rPr>
          <w:rFonts w:hint="eastAsia"/>
          <w:sz w:val="28"/>
          <w:szCs w:val="28"/>
        </w:rPr>
      </w:pPr>
      <w:r w:rsidRPr="00B558A7">
        <w:rPr>
          <w:sz w:val="28"/>
          <w:szCs w:val="28"/>
        </w:rPr>
        <w:t>在全球低碳转型的趋势下，</w:t>
      </w:r>
      <w:r w:rsidR="002C2655">
        <w:rPr>
          <w:rFonts w:hint="eastAsia"/>
          <w:sz w:val="28"/>
          <w:szCs w:val="28"/>
        </w:rPr>
        <w:t>航运企业作为主要的</w:t>
      </w:r>
      <w:r w:rsidR="000E13CA" w:rsidRPr="00F64E77">
        <w:rPr>
          <w:rFonts w:hint="eastAsia"/>
          <w:sz w:val="28"/>
          <w:szCs w:val="28"/>
        </w:rPr>
        <w:t>承运人</w:t>
      </w:r>
      <w:r w:rsidR="002C2655">
        <w:rPr>
          <w:rFonts w:hint="eastAsia"/>
          <w:sz w:val="28"/>
          <w:szCs w:val="28"/>
        </w:rPr>
        <w:t>，</w:t>
      </w:r>
      <w:r w:rsidRPr="00B558A7">
        <w:rPr>
          <w:sz w:val="28"/>
          <w:szCs w:val="28"/>
        </w:rPr>
        <w:t>面临来自客户设定的减排目标的</w:t>
      </w:r>
      <w:r>
        <w:rPr>
          <w:rFonts w:hint="eastAsia"/>
          <w:sz w:val="28"/>
          <w:szCs w:val="28"/>
        </w:rPr>
        <w:t>严峻</w:t>
      </w:r>
      <w:r w:rsidRPr="00B558A7">
        <w:rPr>
          <w:sz w:val="28"/>
          <w:szCs w:val="28"/>
        </w:rPr>
        <w:t>压力。</w:t>
      </w:r>
      <w:r>
        <w:rPr>
          <w:rFonts w:hint="eastAsia"/>
          <w:sz w:val="28"/>
          <w:szCs w:val="28"/>
        </w:rPr>
        <w:t>对于航运公司而言，其</w:t>
      </w:r>
      <w:r w:rsidR="000E13CA" w:rsidRPr="00F64E77">
        <w:rPr>
          <w:rFonts w:hint="eastAsia"/>
          <w:sz w:val="28"/>
          <w:szCs w:val="28"/>
        </w:rPr>
        <w:t>温室气体排放</w:t>
      </w:r>
      <w:r w:rsidRPr="00B558A7">
        <w:rPr>
          <w:sz w:val="28"/>
          <w:szCs w:val="28"/>
        </w:rPr>
        <w:t>主要</w:t>
      </w:r>
      <w:r w:rsidR="008E13C7">
        <w:rPr>
          <w:rFonts w:hint="eastAsia"/>
          <w:sz w:val="28"/>
          <w:szCs w:val="28"/>
        </w:rPr>
        <w:t>归类为</w:t>
      </w:r>
      <w:r w:rsidRPr="00B558A7">
        <w:rPr>
          <w:sz w:val="28"/>
          <w:szCs w:val="28"/>
        </w:rPr>
        <w:t>客户</w:t>
      </w:r>
      <w:r>
        <w:rPr>
          <w:rFonts w:hint="eastAsia"/>
          <w:sz w:val="28"/>
          <w:szCs w:val="28"/>
        </w:rPr>
        <w:t>的范围3碳排放，即</w:t>
      </w:r>
      <w:r w:rsidR="002D534E">
        <w:rPr>
          <w:rFonts w:hint="eastAsia"/>
          <w:sz w:val="28"/>
          <w:szCs w:val="28"/>
        </w:rPr>
        <w:t>客户</w:t>
      </w:r>
      <w:r w:rsidRPr="00B558A7">
        <w:rPr>
          <w:sz w:val="28"/>
          <w:szCs w:val="28"/>
        </w:rPr>
        <w:t>使用航运服务</w:t>
      </w:r>
      <w:r w:rsidR="002D534E">
        <w:rPr>
          <w:rFonts w:hint="eastAsia"/>
          <w:sz w:val="28"/>
          <w:szCs w:val="28"/>
        </w:rPr>
        <w:t>所</w:t>
      </w:r>
      <w:r w:rsidRPr="00B558A7">
        <w:rPr>
          <w:sz w:val="28"/>
          <w:szCs w:val="28"/>
        </w:rPr>
        <w:t>产生的排放</w:t>
      </w:r>
      <w:r w:rsidR="008E13C7">
        <w:rPr>
          <w:rFonts w:hint="eastAsia"/>
          <w:sz w:val="28"/>
          <w:szCs w:val="28"/>
        </w:rPr>
        <w:t>。</w:t>
      </w:r>
      <w:r>
        <w:rPr>
          <w:rFonts w:hint="eastAsia"/>
          <w:sz w:val="28"/>
          <w:szCs w:val="28"/>
        </w:rPr>
        <w:t>因此</w:t>
      </w:r>
      <w:r w:rsidR="008E13C7">
        <w:rPr>
          <w:rFonts w:hint="eastAsia"/>
          <w:sz w:val="28"/>
          <w:szCs w:val="28"/>
        </w:rPr>
        <w:t>，</w:t>
      </w:r>
      <w:r w:rsidR="000E13CA" w:rsidRPr="00F64E77">
        <w:rPr>
          <w:rFonts w:hint="eastAsia"/>
          <w:sz w:val="28"/>
          <w:szCs w:val="28"/>
        </w:rPr>
        <w:t>设定了减排目标的客户势必</w:t>
      </w:r>
      <w:r w:rsidR="008E13C7">
        <w:rPr>
          <w:rFonts w:hint="eastAsia"/>
          <w:sz w:val="28"/>
          <w:szCs w:val="28"/>
        </w:rPr>
        <w:t>会</w:t>
      </w:r>
      <w:r w:rsidR="000E13CA" w:rsidRPr="00F64E77">
        <w:rPr>
          <w:rFonts w:hint="eastAsia"/>
          <w:sz w:val="28"/>
          <w:szCs w:val="28"/>
        </w:rPr>
        <w:t>通过供应商管理机制来敦促承运人减排</w:t>
      </w:r>
      <w:r w:rsidR="002D534E">
        <w:rPr>
          <w:rFonts w:hint="eastAsia"/>
          <w:sz w:val="28"/>
          <w:szCs w:val="28"/>
        </w:rPr>
        <w:t>，如果承运人无法提供低碳行业服务，就将失去客户订单</w:t>
      </w:r>
      <w:r w:rsidR="000E13CA" w:rsidRPr="00F64E77">
        <w:rPr>
          <w:rFonts w:hint="eastAsia"/>
          <w:sz w:val="28"/>
          <w:szCs w:val="28"/>
        </w:rPr>
        <w:t>。</w:t>
      </w:r>
      <w:r w:rsidR="000F1DC0" w:rsidRPr="00F64E77">
        <w:rPr>
          <w:rFonts w:hint="eastAsia"/>
          <w:sz w:val="28"/>
          <w:szCs w:val="28"/>
        </w:rPr>
        <w:t>据马士基统计，其前2</w:t>
      </w:r>
      <w:r w:rsidR="000F1DC0" w:rsidRPr="00F64E77">
        <w:rPr>
          <w:sz w:val="28"/>
          <w:szCs w:val="28"/>
        </w:rPr>
        <w:t>00</w:t>
      </w:r>
      <w:r w:rsidR="000F1DC0" w:rsidRPr="00F64E77">
        <w:rPr>
          <w:rFonts w:hint="eastAsia"/>
          <w:sz w:val="28"/>
          <w:szCs w:val="28"/>
        </w:rPr>
        <w:t>名客户中有6</w:t>
      </w:r>
      <w:r w:rsidR="000F1DC0" w:rsidRPr="00F64E77">
        <w:rPr>
          <w:sz w:val="28"/>
          <w:szCs w:val="28"/>
        </w:rPr>
        <w:t>0%</w:t>
      </w:r>
      <w:r w:rsidR="000F1DC0" w:rsidRPr="00F64E77">
        <w:rPr>
          <w:rFonts w:hint="eastAsia"/>
          <w:sz w:val="28"/>
          <w:szCs w:val="28"/>
        </w:rPr>
        <w:t>已承诺或设定科学减碳目标。</w:t>
      </w:r>
      <w:r w:rsidRPr="00B558A7">
        <w:rPr>
          <w:sz w:val="28"/>
          <w:szCs w:val="28"/>
        </w:rPr>
        <w:t>这表明，未能</w:t>
      </w:r>
      <w:r w:rsidR="002D534E">
        <w:rPr>
          <w:rFonts w:hint="eastAsia"/>
          <w:sz w:val="28"/>
          <w:szCs w:val="28"/>
        </w:rPr>
        <w:t>有效</w:t>
      </w:r>
      <w:r w:rsidRPr="00B558A7">
        <w:rPr>
          <w:sz w:val="28"/>
          <w:szCs w:val="28"/>
        </w:rPr>
        <w:t>降低温室气体排放的航运公司</w:t>
      </w:r>
      <w:r w:rsidR="002D534E">
        <w:rPr>
          <w:rFonts w:hint="eastAsia"/>
          <w:sz w:val="28"/>
          <w:szCs w:val="28"/>
        </w:rPr>
        <w:t>将被</w:t>
      </w:r>
      <w:r w:rsidR="007C1B87">
        <w:rPr>
          <w:rFonts w:hint="eastAsia"/>
          <w:sz w:val="28"/>
          <w:szCs w:val="28"/>
        </w:rPr>
        <w:t>具有绿色</w:t>
      </w:r>
      <w:r w:rsidR="007C1B87">
        <w:rPr>
          <w:rFonts w:hint="eastAsia"/>
          <w:sz w:val="28"/>
          <w:szCs w:val="28"/>
        </w:rPr>
        <w:lastRenderedPageBreak/>
        <w:t>偏好</w:t>
      </w:r>
      <w:r w:rsidRPr="00B558A7">
        <w:rPr>
          <w:sz w:val="28"/>
          <w:szCs w:val="28"/>
        </w:rPr>
        <w:t>的客户</w:t>
      </w:r>
      <w:r w:rsidR="002D534E">
        <w:rPr>
          <w:rFonts w:hint="eastAsia"/>
          <w:sz w:val="28"/>
          <w:szCs w:val="28"/>
        </w:rPr>
        <w:t>所“抛弃”</w:t>
      </w:r>
      <w:r w:rsidRPr="00B558A7">
        <w:rPr>
          <w:sz w:val="28"/>
          <w:szCs w:val="28"/>
        </w:rPr>
        <w:t>。</w:t>
      </w:r>
    </w:p>
    <w:p w14:paraId="5B0DE472" w14:textId="1079FC67" w:rsidR="00B64F94" w:rsidRPr="00F64E77" w:rsidRDefault="000F1DC0" w:rsidP="002D534E">
      <w:pPr>
        <w:pStyle w:val="-05-15"/>
        <w:ind w:firstLine="560"/>
        <w:rPr>
          <w:rFonts w:hint="eastAsia"/>
          <w:sz w:val="28"/>
          <w:szCs w:val="28"/>
        </w:rPr>
      </w:pPr>
      <w:r w:rsidRPr="00F64E77">
        <w:rPr>
          <w:rFonts w:hint="eastAsia"/>
          <w:sz w:val="28"/>
          <w:szCs w:val="28"/>
        </w:rPr>
        <w:t>尽管我国目标是</w:t>
      </w:r>
      <w:r w:rsidR="008E13C7">
        <w:rPr>
          <w:rFonts w:hint="eastAsia"/>
          <w:sz w:val="28"/>
          <w:szCs w:val="28"/>
        </w:rPr>
        <w:t>在</w:t>
      </w:r>
      <w:r w:rsidRPr="00F64E77">
        <w:rPr>
          <w:sz w:val="28"/>
          <w:szCs w:val="28"/>
        </w:rPr>
        <w:t>2060年前实现碳中和，</w:t>
      </w:r>
      <w:r w:rsidR="002D534E">
        <w:rPr>
          <w:rFonts w:hint="eastAsia"/>
          <w:sz w:val="28"/>
          <w:szCs w:val="28"/>
        </w:rPr>
        <w:t>但在国际航运这个领域，我国国际航运企业的竞争对手大多是承诺了2050年碳中和的发达国家承运人，面对的是同一批客户。因此，我国航运企业</w:t>
      </w:r>
      <w:r w:rsidRPr="00F64E77">
        <w:rPr>
          <w:sz w:val="28"/>
          <w:szCs w:val="28"/>
        </w:rPr>
        <w:t>如果不在2050年前甚至更早实现碳中和，在全球大多数竞争对手、客户都在2050年前实现碳中和的</w:t>
      </w:r>
      <w:r w:rsidRPr="00F64E77">
        <w:rPr>
          <w:rFonts w:hint="eastAsia"/>
          <w:sz w:val="28"/>
          <w:szCs w:val="28"/>
        </w:rPr>
        <w:t>局面</w:t>
      </w:r>
      <w:r w:rsidRPr="00F64E77">
        <w:rPr>
          <w:sz w:val="28"/>
          <w:szCs w:val="28"/>
        </w:rPr>
        <w:t>里，</w:t>
      </w:r>
      <w:r w:rsidR="007C1B87">
        <w:rPr>
          <w:rFonts w:hint="eastAsia"/>
          <w:sz w:val="28"/>
          <w:szCs w:val="28"/>
        </w:rPr>
        <w:t>势必</w:t>
      </w:r>
      <w:r w:rsidR="007C1B87" w:rsidRPr="00B558A7">
        <w:rPr>
          <w:sz w:val="28"/>
          <w:szCs w:val="28"/>
        </w:rPr>
        <w:t>将面临</w:t>
      </w:r>
      <w:r w:rsidR="002D534E">
        <w:rPr>
          <w:rFonts w:hint="eastAsia"/>
          <w:sz w:val="28"/>
          <w:szCs w:val="28"/>
        </w:rPr>
        <w:t>失去</w:t>
      </w:r>
      <w:r w:rsidR="007C1B87" w:rsidRPr="00B558A7">
        <w:rPr>
          <w:sz w:val="28"/>
          <w:szCs w:val="28"/>
        </w:rPr>
        <w:t>市场</w:t>
      </w:r>
      <w:r w:rsidR="002D534E">
        <w:rPr>
          <w:rFonts w:hint="eastAsia"/>
          <w:sz w:val="28"/>
          <w:szCs w:val="28"/>
        </w:rPr>
        <w:t>份额的巨大</w:t>
      </w:r>
      <w:r w:rsidR="007C1B87" w:rsidRPr="00B558A7">
        <w:rPr>
          <w:sz w:val="28"/>
          <w:szCs w:val="28"/>
        </w:rPr>
        <w:t>竞争压力</w:t>
      </w:r>
      <w:r w:rsidR="00CC004A" w:rsidRPr="00F64E77">
        <w:rPr>
          <w:rFonts w:hint="eastAsia"/>
          <w:sz w:val="28"/>
          <w:szCs w:val="28"/>
        </w:rPr>
        <w:t>。</w:t>
      </w:r>
    </w:p>
    <w:p w14:paraId="124EBE9E" w14:textId="733E64B3" w:rsidR="000F1DC0" w:rsidRPr="00F64E77" w:rsidRDefault="00BC7813" w:rsidP="000F1DC0">
      <w:pPr>
        <w:pStyle w:val="2"/>
        <w:numPr>
          <w:ilvl w:val="0"/>
          <w:numId w:val="2"/>
        </w:numPr>
        <w:spacing w:before="156" w:after="156"/>
        <w:rPr>
          <w:rFonts w:asciiTheme="minorHAnsi" w:eastAsiaTheme="minorHAnsi" w:hAnsiTheme="minorHAnsi" w:hint="eastAsia"/>
          <w:sz w:val="28"/>
          <w:szCs w:val="28"/>
        </w:rPr>
      </w:pPr>
      <w:r w:rsidRPr="00F64E77">
        <w:rPr>
          <w:rFonts w:asciiTheme="minorHAnsi" w:eastAsiaTheme="minorHAnsi" w:hAnsiTheme="minorHAnsi" w:hint="eastAsia"/>
          <w:sz w:val="28"/>
          <w:szCs w:val="28"/>
        </w:rPr>
        <w:t>国际航运企业</w:t>
      </w:r>
      <w:r w:rsidR="002D534E">
        <w:rPr>
          <w:rFonts w:asciiTheme="minorHAnsi" w:eastAsiaTheme="minorHAnsi" w:hAnsiTheme="minorHAnsi" w:hint="eastAsia"/>
          <w:sz w:val="28"/>
          <w:szCs w:val="28"/>
        </w:rPr>
        <w:t>的</w:t>
      </w:r>
      <w:r w:rsidRPr="00F64E77">
        <w:rPr>
          <w:rFonts w:asciiTheme="minorHAnsi" w:eastAsiaTheme="minorHAnsi" w:hAnsiTheme="minorHAnsi" w:hint="eastAsia"/>
          <w:sz w:val="28"/>
          <w:szCs w:val="28"/>
        </w:rPr>
        <w:t>转型经验</w:t>
      </w:r>
    </w:p>
    <w:p w14:paraId="6DE2EEEF" w14:textId="1EC6809F" w:rsidR="00996009" w:rsidRPr="00F64E77" w:rsidRDefault="00CC5BF5" w:rsidP="00996009">
      <w:pPr>
        <w:pStyle w:val="3"/>
        <w:numPr>
          <w:ilvl w:val="0"/>
          <w:numId w:val="11"/>
        </w:numPr>
        <w:spacing w:before="156" w:after="156"/>
        <w:rPr>
          <w:rFonts w:asciiTheme="majorHAnsi" w:eastAsiaTheme="majorHAnsi" w:hAnsiTheme="majorHAnsi" w:hint="eastAsia"/>
          <w:sz w:val="28"/>
          <w:szCs w:val="28"/>
        </w:rPr>
      </w:pPr>
      <w:r w:rsidRPr="00F64E77">
        <w:rPr>
          <w:rFonts w:asciiTheme="majorHAnsi" w:eastAsiaTheme="majorHAnsi" w:hAnsiTheme="majorHAnsi" w:hint="eastAsia"/>
          <w:sz w:val="28"/>
          <w:szCs w:val="28"/>
        </w:rPr>
        <w:t>明确</w:t>
      </w:r>
      <w:r w:rsidR="00996009" w:rsidRPr="00F64E77">
        <w:rPr>
          <w:rFonts w:asciiTheme="majorHAnsi" w:eastAsiaTheme="majorHAnsi" w:hAnsiTheme="majorHAnsi" w:hint="eastAsia"/>
          <w:sz w:val="28"/>
          <w:szCs w:val="28"/>
        </w:rPr>
        <w:t>转型目标，</w:t>
      </w:r>
      <w:r w:rsidRPr="00F64E77">
        <w:rPr>
          <w:rFonts w:asciiTheme="majorHAnsi" w:eastAsiaTheme="majorHAnsi" w:hAnsiTheme="majorHAnsi" w:hint="eastAsia"/>
          <w:sz w:val="28"/>
          <w:szCs w:val="28"/>
        </w:rPr>
        <w:t>强化转型风险管理</w:t>
      </w:r>
    </w:p>
    <w:p w14:paraId="35F5392A" w14:textId="1B805BE8" w:rsidR="00996009" w:rsidRPr="00F64E77" w:rsidRDefault="00996009" w:rsidP="00996009">
      <w:pPr>
        <w:pStyle w:val="-05-15"/>
        <w:ind w:firstLine="560"/>
        <w:rPr>
          <w:rFonts w:hint="eastAsia"/>
          <w:sz w:val="28"/>
          <w:szCs w:val="28"/>
        </w:rPr>
      </w:pPr>
      <w:r w:rsidRPr="00F64E77">
        <w:rPr>
          <w:rFonts w:hint="eastAsia"/>
          <w:sz w:val="28"/>
          <w:szCs w:val="28"/>
        </w:rPr>
        <w:t>境外主要航运企业</w:t>
      </w:r>
      <w:r w:rsidR="00DF7102">
        <w:rPr>
          <w:rFonts w:hint="eastAsia"/>
          <w:sz w:val="28"/>
          <w:szCs w:val="28"/>
        </w:rPr>
        <w:t>的转型目标</w:t>
      </w:r>
      <w:r w:rsidRPr="00F64E77">
        <w:rPr>
          <w:rFonts w:hint="eastAsia"/>
          <w:sz w:val="28"/>
          <w:szCs w:val="28"/>
        </w:rPr>
        <w:t>基本与IMO</w:t>
      </w:r>
      <w:r w:rsidR="001E7DC9">
        <w:rPr>
          <w:rFonts w:hint="eastAsia"/>
          <w:sz w:val="28"/>
          <w:szCs w:val="28"/>
        </w:rPr>
        <w:t>目标</w:t>
      </w:r>
      <w:r w:rsidRPr="00F64E77">
        <w:rPr>
          <w:rFonts w:hint="eastAsia"/>
          <w:sz w:val="28"/>
          <w:szCs w:val="28"/>
        </w:rPr>
        <w:t>保持一致，但也有所差别。</w:t>
      </w:r>
      <w:r w:rsidR="00FD5051" w:rsidRPr="00F64E77">
        <w:rPr>
          <w:rFonts w:hint="eastAsia"/>
          <w:sz w:val="28"/>
          <w:szCs w:val="28"/>
        </w:rPr>
        <w:t>比如，</w:t>
      </w:r>
      <w:r w:rsidR="00C23404">
        <w:rPr>
          <w:rFonts w:hint="eastAsia"/>
          <w:sz w:val="28"/>
          <w:szCs w:val="28"/>
        </w:rPr>
        <w:t>作为全球</w:t>
      </w:r>
      <w:r w:rsidR="00242E99">
        <w:rPr>
          <w:rFonts w:hint="eastAsia"/>
          <w:sz w:val="28"/>
          <w:szCs w:val="28"/>
        </w:rPr>
        <w:t>最</w:t>
      </w:r>
      <w:r w:rsidR="00C23404">
        <w:rPr>
          <w:rFonts w:hint="eastAsia"/>
          <w:sz w:val="28"/>
          <w:szCs w:val="28"/>
        </w:rPr>
        <w:t>大的集装箱承运输公司，</w:t>
      </w:r>
      <w:r w:rsidRPr="00F64E77">
        <w:rPr>
          <w:rFonts w:hint="eastAsia"/>
          <w:sz w:val="28"/>
          <w:szCs w:val="28"/>
        </w:rPr>
        <w:t>马士基</w:t>
      </w:r>
      <w:r w:rsidR="001A51B4">
        <w:rPr>
          <w:rFonts w:hint="eastAsia"/>
          <w:sz w:val="28"/>
          <w:szCs w:val="28"/>
        </w:rPr>
        <w:t>的转型目标</w:t>
      </w:r>
      <w:r w:rsidRPr="00F64E77">
        <w:rPr>
          <w:rFonts w:hint="eastAsia"/>
          <w:sz w:val="28"/>
          <w:szCs w:val="28"/>
        </w:rPr>
        <w:t>较为领先，提出</w:t>
      </w:r>
      <w:r w:rsidR="009E7F33">
        <w:rPr>
          <w:rFonts w:hint="eastAsia"/>
          <w:sz w:val="28"/>
          <w:szCs w:val="28"/>
        </w:rPr>
        <w:t>力争于</w:t>
      </w:r>
      <w:r w:rsidRPr="00F64E77">
        <w:rPr>
          <w:rFonts w:hint="eastAsia"/>
          <w:sz w:val="28"/>
          <w:szCs w:val="28"/>
        </w:rPr>
        <w:t>2</w:t>
      </w:r>
      <w:r w:rsidRPr="00F64E77">
        <w:rPr>
          <w:sz w:val="28"/>
          <w:szCs w:val="28"/>
        </w:rPr>
        <w:t>040</w:t>
      </w:r>
      <w:r w:rsidRPr="00F64E77">
        <w:rPr>
          <w:rFonts w:hint="eastAsia"/>
          <w:sz w:val="28"/>
          <w:szCs w:val="28"/>
        </w:rPr>
        <w:t>年前实现</w:t>
      </w:r>
      <w:r w:rsidR="00BA519C">
        <w:rPr>
          <w:rFonts w:hint="eastAsia"/>
          <w:sz w:val="28"/>
          <w:szCs w:val="28"/>
        </w:rPr>
        <w:t>所有业务</w:t>
      </w:r>
      <w:r w:rsidRPr="00F64E77">
        <w:rPr>
          <w:rFonts w:hint="eastAsia"/>
          <w:sz w:val="28"/>
          <w:szCs w:val="28"/>
        </w:rPr>
        <w:t>碳中和，</w:t>
      </w:r>
      <w:r w:rsidR="00242E99">
        <w:rPr>
          <w:rFonts w:hint="eastAsia"/>
          <w:sz w:val="28"/>
          <w:szCs w:val="28"/>
        </w:rPr>
        <w:t>并</w:t>
      </w:r>
      <w:r w:rsidR="00467037" w:rsidRPr="00F64E77">
        <w:rPr>
          <w:rFonts w:hint="eastAsia"/>
          <w:sz w:val="28"/>
          <w:szCs w:val="28"/>
        </w:rPr>
        <w:t>强调</w:t>
      </w:r>
      <w:r w:rsidRPr="00F64E77">
        <w:rPr>
          <w:rFonts w:hint="eastAsia"/>
          <w:sz w:val="28"/>
          <w:szCs w:val="28"/>
        </w:rPr>
        <w:t>与《巴黎协定》1</w:t>
      </w:r>
      <w:r w:rsidRPr="00F64E77">
        <w:rPr>
          <w:sz w:val="28"/>
          <w:szCs w:val="28"/>
        </w:rPr>
        <w:t>.5</w:t>
      </w:r>
      <w:r w:rsidRPr="00F64E77">
        <w:rPr>
          <w:rFonts w:hint="eastAsia"/>
          <w:sz w:val="28"/>
          <w:szCs w:val="28"/>
        </w:rPr>
        <w:t>℃温升</w:t>
      </w:r>
      <w:r w:rsidR="00BA519C">
        <w:rPr>
          <w:rFonts w:hint="eastAsia"/>
          <w:sz w:val="28"/>
          <w:szCs w:val="28"/>
        </w:rPr>
        <w:t>目标下的减排</w:t>
      </w:r>
      <w:r w:rsidRPr="00F64E77">
        <w:rPr>
          <w:rFonts w:hint="eastAsia"/>
          <w:sz w:val="28"/>
          <w:szCs w:val="28"/>
        </w:rPr>
        <w:t>路径一致。</w:t>
      </w:r>
      <w:r w:rsidR="003F18C4" w:rsidRPr="003F18C4">
        <w:rPr>
          <w:rFonts w:hint="eastAsia"/>
          <w:sz w:val="28"/>
          <w:szCs w:val="28"/>
        </w:rPr>
        <w:t>赫伯罗特（</w:t>
      </w:r>
      <w:r w:rsidR="003F18C4" w:rsidRPr="003F18C4">
        <w:rPr>
          <w:sz w:val="28"/>
          <w:szCs w:val="28"/>
        </w:rPr>
        <w:t>HPL）</w:t>
      </w:r>
      <w:r w:rsidR="00A94C6D">
        <w:rPr>
          <w:rFonts w:hint="eastAsia"/>
          <w:sz w:val="28"/>
          <w:szCs w:val="28"/>
        </w:rPr>
        <w:t>则</w:t>
      </w:r>
      <w:r w:rsidR="0060593D">
        <w:rPr>
          <w:rFonts w:hint="eastAsia"/>
          <w:sz w:val="28"/>
          <w:szCs w:val="28"/>
        </w:rPr>
        <w:t>提出</w:t>
      </w:r>
      <w:r w:rsidRPr="00F64E77">
        <w:rPr>
          <w:rFonts w:hint="eastAsia"/>
          <w:sz w:val="28"/>
          <w:szCs w:val="28"/>
        </w:rPr>
        <w:t>在2</w:t>
      </w:r>
      <w:r w:rsidRPr="00F64E77">
        <w:rPr>
          <w:sz w:val="28"/>
          <w:szCs w:val="28"/>
        </w:rPr>
        <w:t>045</w:t>
      </w:r>
      <w:r w:rsidRPr="00F64E77">
        <w:rPr>
          <w:rFonts w:hint="eastAsia"/>
          <w:sz w:val="28"/>
          <w:szCs w:val="28"/>
        </w:rPr>
        <w:t>年前实现船队净零排放。</w:t>
      </w:r>
      <w:r w:rsidR="003F18C4" w:rsidRPr="003F18C4">
        <w:rPr>
          <w:rFonts w:hint="eastAsia"/>
          <w:sz w:val="28"/>
          <w:szCs w:val="28"/>
        </w:rPr>
        <w:t>达飞海运（</w:t>
      </w:r>
      <w:r w:rsidR="003F18C4" w:rsidRPr="003F18C4">
        <w:rPr>
          <w:sz w:val="28"/>
          <w:szCs w:val="28"/>
        </w:rPr>
        <w:t>CMA CGM）</w:t>
      </w:r>
      <w:r w:rsidRPr="00F64E77">
        <w:rPr>
          <w:rFonts w:hint="eastAsia"/>
          <w:sz w:val="28"/>
          <w:szCs w:val="28"/>
        </w:rPr>
        <w:t>提出2</w:t>
      </w:r>
      <w:r w:rsidRPr="00F64E77">
        <w:rPr>
          <w:sz w:val="28"/>
          <w:szCs w:val="28"/>
        </w:rPr>
        <w:t>050</w:t>
      </w:r>
      <w:r w:rsidRPr="00F64E77">
        <w:rPr>
          <w:rFonts w:hint="eastAsia"/>
          <w:sz w:val="28"/>
          <w:szCs w:val="28"/>
        </w:rPr>
        <w:t>年前实现净零排放，</w:t>
      </w:r>
      <w:r w:rsidR="0060593D">
        <w:rPr>
          <w:rFonts w:hint="eastAsia"/>
          <w:sz w:val="28"/>
          <w:szCs w:val="28"/>
        </w:rPr>
        <w:t>阶段</w:t>
      </w:r>
      <w:r w:rsidR="00034C76">
        <w:rPr>
          <w:rFonts w:hint="eastAsia"/>
          <w:sz w:val="28"/>
          <w:szCs w:val="28"/>
        </w:rPr>
        <w:t>性</w:t>
      </w:r>
      <w:r w:rsidR="0060593D">
        <w:rPr>
          <w:rFonts w:hint="eastAsia"/>
          <w:sz w:val="28"/>
          <w:szCs w:val="28"/>
        </w:rPr>
        <w:t>目标</w:t>
      </w:r>
      <w:r w:rsidRPr="00F64E77">
        <w:rPr>
          <w:rFonts w:hint="eastAsia"/>
          <w:sz w:val="28"/>
          <w:szCs w:val="28"/>
        </w:rPr>
        <w:t>与IMO力争目标一致。</w:t>
      </w:r>
      <w:r w:rsidR="003F18C4" w:rsidRPr="003F18C4">
        <w:rPr>
          <w:rFonts w:hint="eastAsia"/>
          <w:sz w:val="28"/>
          <w:szCs w:val="28"/>
        </w:rPr>
        <w:t>地中海航运（</w:t>
      </w:r>
      <w:r w:rsidR="003F18C4" w:rsidRPr="003F18C4">
        <w:rPr>
          <w:sz w:val="28"/>
          <w:szCs w:val="28"/>
        </w:rPr>
        <w:t>MSC）</w:t>
      </w:r>
      <w:r w:rsidRPr="00F64E77">
        <w:rPr>
          <w:rFonts w:hint="eastAsia"/>
          <w:sz w:val="28"/>
          <w:szCs w:val="28"/>
        </w:rPr>
        <w:t>针对货运板块提出2</w:t>
      </w:r>
      <w:r w:rsidRPr="00F64E77">
        <w:rPr>
          <w:sz w:val="28"/>
          <w:szCs w:val="28"/>
        </w:rPr>
        <w:t>050</w:t>
      </w:r>
      <w:r w:rsidRPr="00F64E77">
        <w:rPr>
          <w:rFonts w:hint="eastAsia"/>
          <w:sz w:val="28"/>
          <w:szCs w:val="28"/>
        </w:rPr>
        <w:t>年前实现净零排放。</w:t>
      </w:r>
    </w:p>
    <w:p w14:paraId="69A28E0D" w14:textId="68DD8D38" w:rsidR="00996009" w:rsidRPr="00F64E77" w:rsidRDefault="00A76A5F" w:rsidP="00996009">
      <w:pPr>
        <w:pStyle w:val="-05-15"/>
        <w:ind w:firstLine="560"/>
        <w:rPr>
          <w:rFonts w:hint="eastAsia"/>
          <w:sz w:val="28"/>
          <w:szCs w:val="28"/>
        </w:rPr>
      </w:pPr>
      <w:r w:rsidRPr="00F64E77">
        <w:rPr>
          <w:rFonts w:hint="eastAsia"/>
          <w:sz w:val="28"/>
          <w:szCs w:val="28"/>
        </w:rPr>
        <w:t>从</w:t>
      </w:r>
      <w:r w:rsidR="00B1551E">
        <w:rPr>
          <w:rFonts w:hint="eastAsia"/>
          <w:sz w:val="28"/>
          <w:szCs w:val="28"/>
        </w:rPr>
        <w:t>信息</w:t>
      </w:r>
      <w:r w:rsidRPr="00F64E77">
        <w:rPr>
          <w:rFonts w:hint="eastAsia"/>
          <w:sz w:val="28"/>
          <w:szCs w:val="28"/>
        </w:rPr>
        <w:t>披露细节看，马士基</w:t>
      </w:r>
      <w:r w:rsidR="00996009" w:rsidRPr="00F64E77">
        <w:rPr>
          <w:rFonts w:hint="eastAsia"/>
          <w:sz w:val="28"/>
          <w:szCs w:val="28"/>
        </w:rPr>
        <w:t>借助</w:t>
      </w:r>
      <w:r w:rsidR="0060593D">
        <w:rPr>
          <w:rFonts w:hint="eastAsia"/>
          <w:sz w:val="28"/>
          <w:szCs w:val="28"/>
        </w:rPr>
        <w:t>气候相关财务信息披露（</w:t>
      </w:r>
      <w:r w:rsidR="00996009" w:rsidRPr="00F64E77">
        <w:rPr>
          <w:rFonts w:hint="eastAsia"/>
          <w:sz w:val="28"/>
          <w:szCs w:val="28"/>
        </w:rPr>
        <w:t>TCFD</w:t>
      </w:r>
      <w:r w:rsidR="0060593D">
        <w:rPr>
          <w:rFonts w:hint="eastAsia"/>
          <w:sz w:val="28"/>
          <w:szCs w:val="28"/>
        </w:rPr>
        <w:t>）</w:t>
      </w:r>
      <w:r w:rsidR="00996009" w:rsidRPr="00F64E77">
        <w:rPr>
          <w:rFonts w:hint="eastAsia"/>
          <w:sz w:val="28"/>
          <w:szCs w:val="28"/>
        </w:rPr>
        <w:t>框架分析了气候</w:t>
      </w:r>
      <w:r w:rsidR="0060593D">
        <w:rPr>
          <w:rFonts w:hint="eastAsia"/>
          <w:sz w:val="28"/>
          <w:szCs w:val="28"/>
        </w:rPr>
        <w:t>变化</w:t>
      </w:r>
      <w:r w:rsidR="00996009" w:rsidRPr="00F64E77">
        <w:rPr>
          <w:rFonts w:hint="eastAsia"/>
          <w:sz w:val="28"/>
          <w:szCs w:val="28"/>
        </w:rPr>
        <w:t>带来的转型与物理风险，</w:t>
      </w:r>
      <w:r w:rsidR="0060593D">
        <w:rPr>
          <w:rFonts w:hint="eastAsia"/>
          <w:sz w:val="28"/>
          <w:szCs w:val="28"/>
        </w:rPr>
        <w:t>定性、定量</w:t>
      </w:r>
      <w:r w:rsidR="008412D3">
        <w:rPr>
          <w:rFonts w:hint="eastAsia"/>
          <w:sz w:val="28"/>
          <w:szCs w:val="28"/>
        </w:rPr>
        <w:t>地</w:t>
      </w:r>
      <w:r w:rsidR="0060593D">
        <w:rPr>
          <w:rFonts w:hint="eastAsia"/>
          <w:sz w:val="28"/>
          <w:szCs w:val="28"/>
        </w:rPr>
        <w:t>描述了</w:t>
      </w:r>
      <w:r w:rsidR="00996009" w:rsidRPr="00F64E77">
        <w:rPr>
          <w:rFonts w:hint="eastAsia"/>
          <w:sz w:val="28"/>
          <w:szCs w:val="28"/>
        </w:rPr>
        <w:t>情景分析的</w:t>
      </w:r>
      <w:r w:rsidR="0060593D">
        <w:rPr>
          <w:rFonts w:hint="eastAsia"/>
          <w:sz w:val="28"/>
          <w:szCs w:val="28"/>
        </w:rPr>
        <w:t>结果</w:t>
      </w:r>
      <w:r w:rsidR="00742AD5" w:rsidRPr="00F64E77">
        <w:rPr>
          <w:rFonts w:hint="eastAsia"/>
          <w:sz w:val="28"/>
          <w:szCs w:val="28"/>
        </w:rPr>
        <w:t>。</w:t>
      </w:r>
      <w:r w:rsidR="008412D3">
        <w:rPr>
          <w:rFonts w:hint="eastAsia"/>
          <w:sz w:val="28"/>
          <w:szCs w:val="28"/>
        </w:rPr>
        <w:t>而其中</w:t>
      </w:r>
      <w:r w:rsidR="00AB4B60" w:rsidRPr="00F64E77">
        <w:rPr>
          <w:rFonts w:hint="eastAsia"/>
          <w:sz w:val="28"/>
          <w:szCs w:val="28"/>
        </w:rPr>
        <w:t>从</w:t>
      </w:r>
      <w:r w:rsidR="00996009" w:rsidRPr="00F64E77">
        <w:rPr>
          <w:rFonts w:hint="eastAsia"/>
          <w:sz w:val="28"/>
          <w:szCs w:val="28"/>
        </w:rPr>
        <w:t>“油箱到航迹（tank</w:t>
      </w:r>
      <w:r w:rsidR="00996009" w:rsidRPr="00F64E77">
        <w:rPr>
          <w:sz w:val="28"/>
          <w:szCs w:val="28"/>
        </w:rPr>
        <w:t>-</w:t>
      </w:r>
      <w:r w:rsidR="00996009" w:rsidRPr="00F64E77">
        <w:rPr>
          <w:rFonts w:hint="eastAsia"/>
          <w:sz w:val="28"/>
          <w:szCs w:val="28"/>
        </w:rPr>
        <w:t>to</w:t>
      </w:r>
      <w:r w:rsidR="00996009" w:rsidRPr="00F64E77">
        <w:rPr>
          <w:sz w:val="28"/>
          <w:szCs w:val="28"/>
        </w:rPr>
        <w:t>-</w:t>
      </w:r>
      <w:r w:rsidR="00996009" w:rsidRPr="00F64E77">
        <w:rPr>
          <w:rFonts w:hint="eastAsia"/>
          <w:sz w:val="28"/>
          <w:szCs w:val="28"/>
        </w:rPr>
        <w:t>wake）”到“油井到航迹（well</w:t>
      </w:r>
      <w:r w:rsidR="00996009" w:rsidRPr="00F64E77">
        <w:rPr>
          <w:sz w:val="28"/>
          <w:szCs w:val="28"/>
        </w:rPr>
        <w:t>-</w:t>
      </w:r>
      <w:r w:rsidR="00996009" w:rsidRPr="00F64E77">
        <w:rPr>
          <w:rFonts w:hint="eastAsia"/>
          <w:sz w:val="28"/>
          <w:szCs w:val="28"/>
        </w:rPr>
        <w:t>to</w:t>
      </w:r>
      <w:r w:rsidR="00996009" w:rsidRPr="00F64E77">
        <w:rPr>
          <w:sz w:val="28"/>
          <w:szCs w:val="28"/>
        </w:rPr>
        <w:t>-</w:t>
      </w:r>
      <w:r w:rsidR="00996009" w:rsidRPr="00F64E77">
        <w:rPr>
          <w:rFonts w:hint="eastAsia"/>
          <w:sz w:val="28"/>
          <w:szCs w:val="28"/>
        </w:rPr>
        <w:t>wake）”</w:t>
      </w:r>
      <w:r w:rsidR="00742AD5" w:rsidRPr="00F64E77">
        <w:rPr>
          <w:rFonts w:hint="eastAsia"/>
          <w:sz w:val="28"/>
          <w:szCs w:val="28"/>
        </w:rPr>
        <w:t>计算</w:t>
      </w:r>
      <w:r w:rsidR="00AB4B60" w:rsidRPr="00F64E77">
        <w:rPr>
          <w:rFonts w:hint="eastAsia"/>
          <w:sz w:val="28"/>
          <w:szCs w:val="28"/>
        </w:rPr>
        <w:t>规则</w:t>
      </w:r>
      <w:r w:rsidR="00742AD5" w:rsidRPr="00F64E77">
        <w:rPr>
          <w:rFonts w:hint="eastAsia"/>
          <w:sz w:val="28"/>
          <w:szCs w:val="28"/>
        </w:rPr>
        <w:t>的</w:t>
      </w:r>
      <w:r w:rsidR="00996009" w:rsidRPr="00F64E77">
        <w:rPr>
          <w:rFonts w:hint="eastAsia"/>
          <w:sz w:val="28"/>
          <w:szCs w:val="28"/>
        </w:rPr>
        <w:t>转变，</w:t>
      </w:r>
      <w:r w:rsidR="0060593D">
        <w:rPr>
          <w:rFonts w:hint="eastAsia"/>
          <w:sz w:val="28"/>
          <w:szCs w:val="28"/>
        </w:rPr>
        <w:t>也</w:t>
      </w:r>
      <w:r w:rsidR="00DB3F3A">
        <w:rPr>
          <w:rFonts w:hint="eastAsia"/>
          <w:sz w:val="28"/>
          <w:szCs w:val="28"/>
        </w:rPr>
        <w:t>为航运企业</w:t>
      </w:r>
      <w:r w:rsidR="00996009" w:rsidRPr="00F64E77">
        <w:rPr>
          <w:rFonts w:hint="eastAsia"/>
          <w:sz w:val="28"/>
          <w:szCs w:val="28"/>
        </w:rPr>
        <w:t>带来</w:t>
      </w:r>
      <w:r w:rsidR="00A40C2A" w:rsidRPr="00F64E77">
        <w:rPr>
          <w:rFonts w:hint="eastAsia"/>
          <w:sz w:val="28"/>
          <w:szCs w:val="28"/>
        </w:rPr>
        <w:t>了</w:t>
      </w:r>
      <w:r w:rsidR="00996009" w:rsidRPr="00F64E77">
        <w:rPr>
          <w:rFonts w:hint="eastAsia"/>
          <w:sz w:val="28"/>
          <w:szCs w:val="28"/>
        </w:rPr>
        <w:t>更高的减排压力。</w:t>
      </w:r>
    </w:p>
    <w:p w14:paraId="007E1384" w14:textId="1B7882BA" w:rsidR="00996009" w:rsidRPr="00F64E77" w:rsidRDefault="00CC5BF5" w:rsidP="00996009">
      <w:pPr>
        <w:pStyle w:val="3"/>
        <w:numPr>
          <w:ilvl w:val="0"/>
          <w:numId w:val="11"/>
        </w:numPr>
        <w:spacing w:before="156" w:after="156"/>
        <w:rPr>
          <w:rFonts w:asciiTheme="majorHAnsi" w:eastAsiaTheme="majorHAnsi" w:hAnsiTheme="majorHAnsi" w:hint="eastAsia"/>
          <w:sz w:val="28"/>
          <w:szCs w:val="28"/>
        </w:rPr>
      </w:pPr>
      <w:r w:rsidRPr="00F64E77">
        <w:rPr>
          <w:rFonts w:asciiTheme="majorHAnsi" w:eastAsiaTheme="majorHAnsi" w:hAnsiTheme="majorHAnsi" w:hint="eastAsia"/>
          <w:sz w:val="28"/>
          <w:szCs w:val="28"/>
        </w:rPr>
        <w:lastRenderedPageBreak/>
        <w:t>布局</w:t>
      </w:r>
      <w:r w:rsidR="00996009" w:rsidRPr="00F64E77">
        <w:rPr>
          <w:rFonts w:asciiTheme="majorHAnsi" w:eastAsiaTheme="majorHAnsi" w:hAnsiTheme="majorHAnsi" w:hint="eastAsia"/>
          <w:sz w:val="28"/>
          <w:szCs w:val="28"/>
        </w:rPr>
        <w:t>技术路径，</w:t>
      </w:r>
      <w:r w:rsidR="004B5883" w:rsidRPr="00F64E77">
        <w:rPr>
          <w:rFonts w:asciiTheme="majorHAnsi" w:eastAsiaTheme="majorHAnsi" w:hAnsiTheme="majorHAnsi" w:hint="eastAsia"/>
          <w:sz w:val="28"/>
          <w:szCs w:val="28"/>
        </w:rPr>
        <w:t>提升能源使用效率</w:t>
      </w:r>
    </w:p>
    <w:p w14:paraId="46C64BDE" w14:textId="268C224A" w:rsidR="00376BFF" w:rsidRDefault="00376BFF" w:rsidP="00996009">
      <w:pPr>
        <w:pStyle w:val="-05-15"/>
        <w:ind w:firstLine="560"/>
        <w:rPr>
          <w:rFonts w:hint="eastAsia"/>
          <w:sz w:val="28"/>
          <w:szCs w:val="28"/>
        </w:rPr>
      </w:pPr>
      <w:r>
        <w:rPr>
          <w:rFonts w:hint="eastAsia"/>
          <w:sz w:val="28"/>
          <w:szCs w:val="28"/>
        </w:rPr>
        <w:t>从国际船舶企业的探索和实践经验来看，应用</w:t>
      </w:r>
      <w:r w:rsidRPr="00376BFF">
        <w:rPr>
          <w:sz w:val="28"/>
          <w:szCs w:val="28"/>
        </w:rPr>
        <w:t>低碳/零碳替代燃料和清洁能源</w:t>
      </w:r>
      <w:r>
        <w:rPr>
          <w:rFonts w:hint="eastAsia"/>
          <w:sz w:val="28"/>
          <w:szCs w:val="28"/>
        </w:rPr>
        <w:t>、提高能源使用效率是目前航运业温室气体减排的主要途径。</w:t>
      </w:r>
    </w:p>
    <w:p w14:paraId="469D9CA6" w14:textId="3BAA092F" w:rsidR="00996009" w:rsidRPr="00F64E77" w:rsidRDefault="00996009" w:rsidP="00996009">
      <w:pPr>
        <w:pStyle w:val="-05-15"/>
        <w:ind w:firstLine="560"/>
        <w:rPr>
          <w:rFonts w:hint="eastAsia"/>
          <w:sz w:val="28"/>
          <w:szCs w:val="28"/>
        </w:rPr>
      </w:pPr>
      <w:r w:rsidRPr="00F64E77">
        <w:rPr>
          <w:rFonts w:hint="eastAsia"/>
          <w:sz w:val="28"/>
          <w:szCs w:val="28"/>
        </w:rPr>
        <w:t>从船舶燃料上看，马士基</w:t>
      </w:r>
      <w:r w:rsidR="00A40C2A" w:rsidRPr="00F64E77">
        <w:rPr>
          <w:rFonts w:hint="eastAsia"/>
          <w:sz w:val="28"/>
          <w:szCs w:val="28"/>
        </w:rPr>
        <w:t>定义</w:t>
      </w:r>
      <w:r w:rsidRPr="00F64E77">
        <w:rPr>
          <w:rFonts w:hint="eastAsia"/>
          <w:sz w:val="28"/>
          <w:szCs w:val="28"/>
        </w:rPr>
        <w:t>“绿色燃料”</w:t>
      </w:r>
      <w:r w:rsidR="00A40C2A" w:rsidRPr="00F64E77">
        <w:rPr>
          <w:rFonts w:hint="eastAsia"/>
          <w:sz w:val="28"/>
          <w:szCs w:val="28"/>
        </w:rPr>
        <w:t>为</w:t>
      </w:r>
      <w:r w:rsidRPr="00F64E77">
        <w:rPr>
          <w:rFonts w:hint="eastAsia"/>
          <w:sz w:val="28"/>
          <w:szCs w:val="28"/>
        </w:rPr>
        <w:t>较低或极低排放燃料</w:t>
      </w:r>
      <w:r w:rsidR="00A40C2A" w:rsidRPr="00F64E77">
        <w:rPr>
          <w:rFonts w:hint="eastAsia"/>
          <w:sz w:val="28"/>
          <w:szCs w:val="28"/>
        </w:rPr>
        <w:t>：</w:t>
      </w:r>
      <w:r w:rsidRPr="00F64E77">
        <w:rPr>
          <w:rFonts w:hint="eastAsia"/>
          <w:sz w:val="28"/>
          <w:szCs w:val="28"/>
        </w:rPr>
        <w:t>与化石燃料相比，全生命周期排放减少</w:t>
      </w:r>
      <w:r w:rsidRPr="00F64E77">
        <w:rPr>
          <w:sz w:val="28"/>
          <w:szCs w:val="28"/>
        </w:rPr>
        <w:t>65%-80%为较低排放，减少80%-95%为极低排放。</w:t>
      </w:r>
      <w:r w:rsidR="00845589" w:rsidRPr="00F64E77">
        <w:rPr>
          <w:rFonts w:hint="eastAsia"/>
          <w:sz w:val="28"/>
          <w:szCs w:val="28"/>
        </w:rPr>
        <w:t>在此定义下，</w:t>
      </w:r>
      <w:r w:rsidR="00F009EE" w:rsidRPr="00F64E77">
        <w:rPr>
          <w:rFonts w:hint="eastAsia"/>
          <w:sz w:val="28"/>
          <w:szCs w:val="28"/>
        </w:rPr>
        <w:t>当前领先航运企业在规模上重点发展的船用燃料</w:t>
      </w:r>
      <w:r w:rsidR="005B0CAB">
        <w:rPr>
          <w:rFonts w:hint="eastAsia"/>
          <w:sz w:val="28"/>
          <w:szCs w:val="28"/>
        </w:rPr>
        <w:t>主要包括</w:t>
      </w:r>
      <w:r w:rsidR="000C1B2B" w:rsidRPr="00F64E77">
        <w:rPr>
          <w:rFonts w:hint="eastAsia"/>
          <w:sz w:val="28"/>
          <w:szCs w:val="28"/>
        </w:rPr>
        <w:t>第二代</w:t>
      </w:r>
      <w:r w:rsidR="00845589" w:rsidRPr="00F64E77">
        <w:rPr>
          <w:rFonts w:hint="eastAsia"/>
          <w:sz w:val="28"/>
          <w:szCs w:val="28"/>
        </w:rPr>
        <w:t>生物柴油</w:t>
      </w:r>
      <w:r w:rsidR="005B0CAB">
        <w:rPr>
          <w:rFonts w:hint="eastAsia"/>
          <w:sz w:val="28"/>
          <w:szCs w:val="28"/>
        </w:rPr>
        <w:t>和</w:t>
      </w:r>
      <w:r w:rsidR="00845589" w:rsidRPr="00F64E77">
        <w:rPr>
          <w:rFonts w:hint="eastAsia"/>
          <w:sz w:val="28"/>
          <w:szCs w:val="28"/>
        </w:rPr>
        <w:t>基于生物或可再生电力的液化天然气（</w:t>
      </w:r>
      <w:r w:rsidR="00845589" w:rsidRPr="00F64E77">
        <w:rPr>
          <w:sz w:val="28"/>
          <w:szCs w:val="28"/>
        </w:rPr>
        <w:t>LNG）</w:t>
      </w:r>
      <w:r w:rsidR="005B0CAB">
        <w:rPr>
          <w:rFonts w:hint="eastAsia"/>
          <w:sz w:val="28"/>
          <w:szCs w:val="28"/>
        </w:rPr>
        <w:t>。此外，</w:t>
      </w:r>
      <w:r w:rsidR="000C1B2B" w:rsidRPr="00F64E77">
        <w:rPr>
          <w:rFonts w:hint="eastAsia"/>
          <w:sz w:val="28"/>
          <w:szCs w:val="28"/>
        </w:rPr>
        <w:t>绿色甲醇、绿色氨能、绿色氢能</w:t>
      </w:r>
      <w:r w:rsidR="005B0CAB">
        <w:rPr>
          <w:rFonts w:hint="eastAsia"/>
          <w:sz w:val="28"/>
          <w:szCs w:val="28"/>
        </w:rPr>
        <w:t>均</w:t>
      </w:r>
      <w:r w:rsidR="00F009EE">
        <w:rPr>
          <w:rFonts w:hint="eastAsia"/>
          <w:sz w:val="28"/>
          <w:szCs w:val="28"/>
        </w:rPr>
        <w:t>在</w:t>
      </w:r>
      <w:r w:rsidR="000C1B2B" w:rsidRPr="00F64E77">
        <w:rPr>
          <w:rFonts w:hint="eastAsia"/>
          <w:sz w:val="28"/>
          <w:szCs w:val="28"/>
        </w:rPr>
        <w:t>积极研究试验</w:t>
      </w:r>
      <w:r w:rsidR="005B0CAB">
        <w:rPr>
          <w:rFonts w:hint="eastAsia"/>
          <w:sz w:val="28"/>
          <w:szCs w:val="28"/>
        </w:rPr>
        <w:t>阶段</w:t>
      </w:r>
      <w:r w:rsidR="00F009EE">
        <w:rPr>
          <w:rFonts w:hint="eastAsia"/>
          <w:sz w:val="28"/>
          <w:szCs w:val="28"/>
        </w:rPr>
        <w:t>中</w:t>
      </w:r>
      <w:r w:rsidR="000C1B2B" w:rsidRPr="00F64E77">
        <w:rPr>
          <w:rFonts w:hint="eastAsia"/>
          <w:sz w:val="28"/>
          <w:szCs w:val="28"/>
        </w:rPr>
        <w:t>，</w:t>
      </w:r>
      <w:r w:rsidR="005B0CAB" w:rsidRPr="005B0CAB">
        <w:rPr>
          <w:sz w:val="28"/>
          <w:szCs w:val="28"/>
        </w:rPr>
        <w:t>未来还考虑将核能纳入船用燃料选项</w:t>
      </w:r>
      <w:r w:rsidR="000C1B2B" w:rsidRPr="00F64E77">
        <w:rPr>
          <w:rFonts w:hint="eastAsia"/>
          <w:sz w:val="28"/>
          <w:szCs w:val="28"/>
        </w:rPr>
        <w:t>。</w:t>
      </w:r>
      <w:r w:rsidR="00A40C2A" w:rsidRPr="00F64E77">
        <w:rPr>
          <w:rFonts w:hint="eastAsia"/>
          <w:sz w:val="28"/>
          <w:szCs w:val="28"/>
        </w:rPr>
        <w:t>因为</w:t>
      </w:r>
      <w:r w:rsidRPr="00F64E77">
        <w:rPr>
          <w:rFonts w:hint="eastAsia"/>
          <w:sz w:val="28"/>
          <w:szCs w:val="28"/>
        </w:rPr>
        <w:t>燃料替代方案尚不明朗，航运企业纷纷订造双燃料船舶或者改造传统船舶，多</w:t>
      </w:r>
      <w:r w:rsidR="005B0CAB">
        <w:rPr>
          <w:rFonts w:hint="eastAsia"/>
          <w:sz w:val="28"/>
          <w:szCs w:val="28"/>
        </w:rPr>
        <w:t>采用</w:t>
      </w:r>
      <w:r w:rsidRPr="00F64E77">
        <w:rPr>
          <w:rFonts w:hint="eastAsia"/>
          <w:sz w:val="28"/>
          <w:szCs w:val="28"/>
        </w:rPr>
        <w:t>LNG</w:t>
      </w:r>
      <w:r w:rsidR="005B0CAB">
        <w:rPr>
          <w:rFonts w:hint="eastAsia"/>
          <w:sz w:val="28"/>
          <w:szCs w:val="28"/>
        </w:rPr>
        <w:t>加</w:t>
      </w:r>
      <w:r w:rsidRPr="00F64E77">
        <w:rPr>
          <w:rFonts w:hint="eastAsia"/>
          <w:sz w:val="28"/>
          <w:szCs w:val="28"/>
        </w:rPr>
        <w:t>甲醇</w:t>
      </w:r>
      <w:r w:rsidR="005B0CAB">
        <w:rPr>
          <w:rFonts w:hint="eastAsia"/>
          <w:sz w:val="28"/>
          <w:szCs w:val="28"/>
        </w:rPr>
        <w:t>或</w:t>
      </w:r>
      <w:r w:rsidRPr="00F64E77">
        <w:rPr>
          <w:rFonts w:hint="eastAsia"/>
          <w:sz w:val="28"/>
          <w:szCs w:val="28"/>
        </w:rPr>
        <w:t>氨能</w:t>
      </w:r>
      <w:r w:rsidR="005B0CAB">
        <w:rPr>
          <w:rFonts w:hint="eastAsia"/>
          <w:sz w:val="28"/>
          <w:szCs w:val="28"/>
        </w:rPr>
        <w:t>的燃料</w:t>
      </w:r>
      <w:r w:rsidR="00A40C2A" w:rsidRPr="00F64E77">
        <w:rPr>
          <w:rFonts w:hint="eastAsia"/>
          <w:sz w:val="28"/>
          <w:szCs w:val="28"/>
        </w:rPr>
        <w:t>组合</w:t>
      </w:r>
      <w:r w:rsidR="00AB4B60" w:rsidRPr="00F64E77">
        <w:rPr>
          <w:rFonts w:hint="eastAsia"/>
          <w:sz w:val="28"/>
          <w:szCs w:val="28"/>
        </w:rPr>
        <w:t>，有些还配备了碳捕捉与储存</w:t>
      </w:r>
      <w:r w:rsidR="0060593D">
        <w:rPr>
          <w:rFonts w:hint="eastAsia"/>
          <w:sz w:val="28"/>
          <w:szCs w:val="28"/>
        </w:rPr>
        <w:t>（C</w:t>
      </w:r>
      <w:r w:rsidR="0060593D">
        <w:rPr>
          <w:sz w:val="28"/>
          <w:szCs w:val="28"/>
        </w:rPr>
        <w:t>CS</w:t>
      </w:r>
      <w:r w:rsidR="0060593D">
        <w:rPr>
          <w:rFonts w:hint="eastAsia"/>
          <w:sz w:val="28"/>
          <w:szCs w:val="28"/>
        </w:rPr>
        <w:t>）</w:t>
      </w:r>
      <w:r w:rsidR="00AB4B60" w:rsidRPr="00F64E77">
        <w:rPr>
          <w:rFonts w:hint="eastAsia"/>
          <w:sz w:val="28"/>
          <w:szCs w:val="28"/>
        </w:rPr>
        <w:t>设备</w:t>
      </w:r>
      <w:r w:rsidRPr="00F64E77">
        <w:rPr>
          <w:rFonts w:hint="eastAsia"/>
          <w:sz w:val="28"/>
          <w:szCs w:val="28"/>
        </w:rPr>
        <w:t>。</w:t>
      </w:r>
    </w:p>
    <w:p w14:paraId="67F2E832" w14:textId="6CF466E2" w:rsidR="001977E7" w:rsidRPr="00F64E77" w:rsidRDefault="00E45883" w:rsidP="007B0CC2">
      <w:pPr>
        <w:pStyle w:val="-05-15"/>
        <w:ind w:firstLine="560"/>
        <w:rPr>
          <w:rFonts w:hint="eastAsia"/>
          <w:sz w:val="28"/>
          <w:szCs w:val="28"/>
        </w:rPr>
      </w:pPr>
      <w:r>
        <w:rPr>
          <w:rFonts w:hint="eastAsia"/>
          <w:sz w:val="28"/>
          <w:szCs w:val="28"/>
        </w:rPr>
        <w:t>能效提升措施主要包括</w:t>
      </w:r>
      <w:r w:rsidR="0060593D">
        <w:rPr>
          <w:rFonts w:hint="eastAsia"/>
          <w:sz w:val="28"/>
          <w:szCs w:val="28"/>
        </w:rPr>
        <w:t>优化</w:t>
      </w:r>
      <w:r w:rsidR="00A40C2A" w:rsidRPr="00F64E77">
        <w:rPr>
          <w:rFonts w:hint="eastAsia"/>
          <w:sz w:val="28"/>
          <w:szCs w:val="28"/>
        </w:rPr>
        <w:t>船舶设计</w:t>
      </w:r>
      <w:r>
        <w:rPr>
          <w:rFonts w:hint="eastAsia"/>
          <w:sz w:val="28"/>
          <w:szCs w:val="28"/>
        </w:rPr>
        <w:t>和数字转型优化运营。在优化船舶设计方面，</w:t>
      </w:r>
      <w:r w:rsidR="00996009" w:rsidRPr="00F64E77">
        <w:rPr>
          <w:rFonts w:hint="eastAsia"/>
          <w:sz w:val="28"/>
          <w:szCs w:val="28"/>
        </w:rPr>
        <w:t>HPL船队更新项目计划</w:t>
      </w:r>
      <w:r w:rsidR="00176E52">
        <w:rPr>
          <w:rFonts w:hint="eastAsia"/>
          <w:sz w:val="28"/>
          <w:szCs w:val="28"/>
        </w:rPr>
        <w:t>在</w:t>
      </w:r>
      <w:r w:rsidR="00996009" w:rsidRPr="00F64E77">
        <w:rPr>
          <w:rFonts w:hint="eastAsia"/>
          <w:sz w:val="28"/>
          <w:szCs w:val="28"/>
        </w:rPr>
        <w:t>五年内对1</w:t>
      </w:r>
      <w:r w:rsidR="00996009" w:rsidRPr="00F64E77">
        <w:rPr>
          <w:sz w:val="28"/>
          <w:szCs w:val="28"/>
        </w:rPr>
        <w:t>50</w:t>
      </w:r>
      <w:r w:rsidR="008F2E07">
        <w:rPr>
          <w:rFonts w:hint="eastAsia"/>
          <w:sz w:val="28"/>
          <w:szCs w:val="28"/>
        </w:rPr>
        <w:t>艘</w:t>
      </w:r>
      <w:r w:rsidR="00996009" w:rsidRPr="00F64E77">
        <w:rPr>
          <w:rFonts w:hint="eastAsia"/>
          <w:sz w:val="28"/>
          <w:szCs w:val="28"/>
        </w:rPr>
        <w:t>船舶进行设计改造，</w:t>
      </w:r>
      <w:r w:rsidR="000C1B2B" w:rsidRPr="00F64E77">
        <w:rPr>
          <w:rFonts w:hint="eastAsia"/>
          <w:sz w:val="28"/>
          <w:szCs w:val="28"/>
        </w:rPr>
        <w:t>如</w:t>
      </w:r>
      <w:r w:rsidR="00176E52" w:rsidRPr="00F64E77">
        <w:rPr>
          <w:rFonts w:hint="eastAsia"/>
          <w:sz w:val="28"/>
          <w:szCs w:val="28"/>
        </w:rPr>
        <w:t>更新替换</w:t>
      </w:r>
      <w:r w:rsidR="000C1B2B" w:rsidRPr="00F64E77">
        <w:rPr>
          <w:rFonts w:hint="eastAsia"/>
          <w:sz w:val="28"/>
          <w:szCs w:val="28"/>
        </w:rPr>
        <w:t>球状船首、螺旋桨、船体涂层等，</w:t>
      </w:r>
      <w:r w:rsidR="00996009" w:rsidRPr="00F64E77">
        <w:rPr>
          <w:rFonts w:hint="eastAsia"/>
          <w:sz w:val="28"/>
          <w:szCs w:val="28"/>
        </w:rPr>
        <w:t>预期能够使船队减排</w:t>
      </w:r>
      <w:r w:rsidR="00176E52">
        <w:rPr>
          <w:rFonts w:hint="eastAsia"/>
          <w:sz w:val="28"/>
          <w:szCs w:val="28"/>
        </w:rPr>
        <w:t>约</w:t>
      </w:r>
      <w:r w:rsidR="00996009" w:rsidRPr="00F64E77">
        <w:rPr>
          <w:rFonts w:hint="eastAsia"/>
          <w:sz w:val="28"/>
          <w:szCs w:val="28"/>
        </w:rPr>
        <w:t>9</w:t>
      </w:r>
      <w:r w:rsidR="00996009" w:rsidRPr="00F64E77">
        <w:rPr>
          <w:sz w:val="28"/>
          <w:szCs w:val="28"/>
        </w:rPr>
        <w:t>%</w:t>
      </w:r>
      <w:r w:rsidR="00176E52">
        <w:rPr>
          <w:rFonts w:hint="eastAsia"/>
          <w:sz w:val="28"/>
          <w:szCs w:val="28"/>
        </w:rPr>
        <w:t>，而</w:t>
      </w:r>
      <w:r w:rsidR="00996009" w:rsidRPr="00F64E77">
        <w:rPr>
          <w:rFonts w:hint="eastAsia"/>
          <w:sz w:val="28"/>
          <w:szCs w:val="28"/>
        </w:rPr>
        <w:t>清理船体</w:t>
      </w:r>
      <w:r w:rsidR="00176E52">
        <w:rPr>
          <w:rFonts w:hint="eastAsia"/>
          <w:sz w:val="28"/>
          <w:szCs w:val="28"/>
        </w:rPr>
        <w:t>的</w:t>
      </w:r>
      <w:r w:rsidR="00996009" w:rsidRPr="00F64E77">
        <w:rPr>
          <w:rFonts w:hint="eastAsia"/>
          <w:sz w:val="28"/>
          <w:szCs w:val="28"/>
        </w:rPr>
        <w:t>污垢</w:t>
      </w:r>
      <w:r w:rsidR="00156F05">
        <w:rPr>
          <w:rFonts w:hint="eastAsia"/>
          <w:sz w:val="28"/>
          <w:szCs w:val="28"/>
        </w:rPr>
        <w:t>经测算</w:t>
      </w:r>
      <w:r w:rsidR="00176E52">
        <w:rPr>
          <w:rFonts w:hint="eastAsia"/>
          <w:sz w:val="28"/>
          <w:szCs w:val="28"/>
        </w:rPr>
        <w:t>使</w:t>
      </w:r>
      <w:r w:rsidR="00996009" w:rsidRPr="00F64E77">
        <w:rPr>
          <w:rFonts w:hint="eastAsia"/>
          <w:sz w:val="28"/>
          <w:szCs w:val="28"/>
        </w:rPr>
        <w:t>船舶节约了</w:t>
      </w:r>
      <w:r w:rsidR="00176E52">
        <w:rPr>
          <w:rFonts w:hint="eastAsia"/>
          <w:sz w:val="28"/>
          <w:szCs w:val="28"/>
        </w:rPr>
        <w:t>大约</w:t>
      </w:r>
      <w:r w:rsidR="00996009" w:rsidRPr="00F64E77">
        <w:rPr>
          <w:rFonts w:hint="eastAsia"/>
          <w:sz w:val="28"/>
          <w:szCs w:val="28"/>
        </w:rPr>
        <w:t>8</w:t>
      </w:r>
      <w:r w:rsidR="00996009" w:rsidRPr="00F64E77">
        <w:rPr>
          <w:sz w:val="28"/>
          <w:szCs w:val="28"/>
        </w:rPr>
        <w:t>%</w:t>
      </w:r>
      <w:r w:rsidR="00996009" w:rsidRPr="00F64E77">
        <w:rPr>
          <w:rFonts w:hint="eastAsia"/>
          <w:sz w:val="28"/>
          <w:szCs w:val="28"/>
        </w:rPr>
        <w:t>的燃料。</w:t>
      </w:r>
      <w:r w:rsidR="007B0CC2">
        <w:rPr>
          <w:rFonts w:hint="eastAsia"/>
          <w:sz w:val="28"/>
          <w:szCs w:val="28"/>
        </w:rPr>
        <w:t>在</w:t>
      </w:r>
      <w:r w:rsidR="00996009" w:rsidRPr="00F64E77">
        <w:rPr>
          <w:rFonts w:hint="eastAsia"/>
          <w:sz w:val="28"/>
          <w:szCs w:val="28"/>
        </w:rPr>
        <w:t>数字转型优化运营</w:t>
      </w:r>
      <w:r w:rsidR="007B0CC2">
        <w:rPr>
          <w:rFonts w:hint="eastAsia"/>
          <w:sz w:val="28"/>
          <w:szCs w:val="28"/>
        </w:rPr>
        <w:t>方面，</w:t>
      </w:r>
      <w:r w:rsidR="00996009" w:rsidRPr="00F64E77">
        <w:rPr>
          <w:rFonts w:hint="eastAsia"/>
          <w:sz w:val="28"/>
          <w:szCs w:val="28"/>
        </w:rPr>
        <w:t>CMA通过中心监控数据来优化航线</w:t>
      </w:r>
      <w:r w:rsidR="00176E52">
        <w:rPr>
          <w:rFonts w:hint="eastAsia"/>
          <w:sz w:val="28"/>
          <w:szCs w:val="28"/>
        </w:rPr>
        <w:t>，而</w:t>
      </w:r>
      <w:r w:rsidR="00996009" w:rsidRPr="00F64E77">
        <w:rPr>
          <w:rFonts w:hint="eastAsia"/>
          <w:sz w:val="28"/>
          <w:szCs w:val="28"/>
        </w:rPr>
        <w:t>HPL通过智能监控优化装载流程来减少在港停泊时间</w:t>
      </w:r>
      <w:r w:rsidR="008039C8" w:rsidRPr="00F64E77">
        <w:rPr>
          <w:rFonts w:hint="eastAsia"/>
          <w:sz w:val="28"/>
          <w:szCs w:val="28"/>
        </w:rPr>
        <w:t>、优化航行配速、</w:t>
      </w:r>
      <w:r w:rsidR="00996009" w:rsidRPr="00F64E77">
        <w:rPr>
          <w:rFonts w:hint="eastAsia"/>
          <w:sz w:val="28"/>
          <w:szCs w:val="28"/>
        </w:rPr>
        <w:t>有效配置空箱与满箱。从2</w:t>
      </w:r>
      <w:r w:rsidR="00996009" w:rsidRPr="00F64E77">
        <w:rPr>
          <w:sz w:val="28"/>
          <w:szCs w:val="28"/>
        </w:rPr>
        <w:t>018</w:t>
      </w:r>
      <w:r w:rsidR="00996009" w:rsidRPr="00F64E77">
        <w:rPr>
          <w:rFonts w:hint="eastAsia"/>
          <w:sz w:val="28"/>
          <w:szCs w:val="28"/>
        </w:rPr>
        <w:t>到2</w:t>
      </w:r>
      <w:r w:rsidR="00996009" w:rsidRPr="00F64E77">
        <w:rPr>
          <w:sz w:val="28"/>
          <w:szCs w:val="28"/>
        </w:rPr>
        <w:t>022</w:t>
      </w:r>
      <w:r w:rsidR="00996009" w:rsidRPr="00F64E77">
        <w:rPr>
          <w:rFonts w:hint="eastAsia"/>
          <w:sz w:val="28"/>
          <w:szCs w:val="28"/>
        </w:rPr>
        <w:t>年，</w:t>
      </w:r>
      <w:r w:rsidR="003F18C4" w:rsidRPr="003F18C4">
        <w:rPr>
          <w:rFonts w:hint="eastAsia"/>
          <w:sz w:val="28"/>
          <w:szCs w:val="28"/>
        </w:rPr>
        <w:t>海洋网联（</w:t>
      </w:r>
      <w:r w:rsidR="003F18C4" w:rsidRPr="003F18C4">
        <w:rPr>
          <w:sz w:val="28"/>
          <w:szCs w:val="28"/>
        </w:rPr>
        <w:t>ONE）</w:t>
      </w:r>
      <w:r w:rsidR="00996009" w:rsidRPr="00F64E77">
        <w:rPr>
          <w:rFonts w:hint="eastAsia"/>
          <w:sz w:val="28"/>
          <w:szCs w:val="28"/>
        </w:rPr>
        <w:t>通过</w:t>
      </w:r>
      <w:r w:rsidR="00176E52">
        <w:rPr>
          <w:rFonts w:hint="eastAsia"/>
          <w:sz w:val="28"/>
          <w:szCs w:val="28"/>
        </w:rPr>
        <w:t>这些措施将</w:t>
      </w:r>
      <w:r w:rsidR="00996009" w:rsidRPr="00F64E77">
        <w:rPr>
          <w:rFonts w:hint="eastAsia"/>
          <w:sz w:val="28"/>
          <w:szCs w:val="28"/>
        </w:rPr>
        <w:t>排放强度降低了1</w:t>
      </w:r>
      <w:r w:rsidR="00996009" w:rsidRPr="00F64E77">
        <w:rPr>
          <w:sz w:val="28"/>
          <w:szCs w:val="28"/>
        </w:rPr>
        <w:t>4%</w:t>
      </w:r>
      <w:r w:rsidR="00996009" w:rsidRPr="00F64E77">
        <w:rPr>
          <w:rFonts w:hint="eastAsia"/>
          <w:sz w:val="28"/>
          <w:szCs w:val="28"/>
        </w:rPr>
        <w:t>。</w:t>
      </w:r>
    </w:p>
    <w:p w14:paraId="04DC9F8F" w14:textId="39D51475" w:rsidR="00996009" w:rsidRPr="001E7DC9" w:rsidRDefault="00996009" w:rsidP="00996009">
      <w:pPr>
        <w:pStyle w:val="3"/>
        <w:numPr>
          <w:ilvl w:val="0"/>
          <w:numId w:val="11"/>
        </w:numPr>
        <w:spacing w:before="156" w:after="156"/>
        <w:rPr>
          <w:rFonts w:asciiTheme="majorHAnsi" w:eastAsiaTheme="majorHAnsi" w:hAnsiTheme="majorHAnsi" w:hint="eastAsia"/>
          <w:sz w:val="28"/>
          <w:szCs w:val="28"/>
        </w:rPr>
      </w:pPr>
      <w:r w:rsidRPr="001E7DC9">
        <w:rPr>
          <w:rFonts w:asciiTheme="majorHAnsi" w:eastAsiaTheme="majorHAnsi" w:hAnsiTheme="majorHAnsi" w:hint="eastAsia"/>
          <w:sz w:val="28"/>
          <w:szCs w:val="28"/>
        </w:rPr>
        <w:lastRenderedPageBreak/>
        <w:t>优化治理结构，</w:t>
      </w:r>
      <w:r w:rsidR="004B5883" w:rsidRPr="00B1551E">
        <w:rPr>
          <w:rFonts w:asciiTheme="majorHAnsi" w:eastAsiaTheme="majorHAnsi" w:hAnsiTheme="majorHAnsi" w:hint="eastAsia"/>
          <w:sz w:val="28"/>
          <w:szCs w:val="28"/>
        </w:rPr>
        <w:t>配置资金与产品线</w:t>
      </w:r>
    </w:p>
    <w:p w14:paraId="1EE1D4B1" w14:textId="7D1D0B0A" w:rsidR="00996009" w:rsidRPr="00F64E77" w:rsidRDefault="00E708AA" w:rsidP="00996009">
      <w:pPr>
        <w:pStyle w:val="-05-15"/>
        <w:ind w:firstLine="560"/>
        <w:rPr>
          <w:rFonts w:hint="eastAsia"/>
          <w:sz w:val="28"/>
          <w:szCs w:val="28"/>
        </w:rPr>
      </w:pPr>
      <w:r w:rsidRPr="00F64E77">
        <w:rPr>
          <w:rFonts w:hint="eastAsia"/>
          <w:sz w:val="28"/>
          <w:szCs w:val="28"/>
        </w:rPr>
        <w:t>在公司治理方面</w:t>
      </w:r>
      <w:r>
        <w:rPr>
          <w:rFonts w:hint="eastAsia"/>
          <w:sz w:val="28"/>
          <w:szCs w:val="28"/>
        </w:rPr>
        <w:t>，</w:t>
      </w:r>
      <w:r w:rsidR="00996009" w:rsidRPr="00F64E77">
        <w:rPr>
          <w:rFonts w:hint="eastAsia"/>
          <w:sz w:val="28"/>
          <w:szCs w:val="28"/>
        </w:rPr>
        <w:t>国际航运企业常见的行动是设立</w:t>
      </w:r>
      <w:r w:rsidR="00431F09" w:rsidRPr="00F64E77">
        <w:rPr>
          <w:rFonts w:hint="eastAsia"/>
          <w:sz w:val="28"/>
          <w:szCs w:val="28"/>
        </w:rPr>
        <w:t>董事会层面的</w:t>
      </w:r>
      <w:r w:rsidR="00996009" w:rsidRPr="00F64E77">
        <w:rPr>
          <w:rFonts w:hint="eastAsia"/>
          <w:sz w:val="28"/>
          <w:szCs w:val="28"/>
        </w:rPr>
        <w:t>专门委员会、</w:t>
      </w:r>
      <w:r w:rsidR="008039C8" w:rsidRPr="00F64E77">
        <w:rPr>
          <w:rFonts w:hint="eastAsia"/>
          <w:sz w:val="28"/>
          <w:szCs w:val="28"/>
        </w:rPr>
        <w:t>独立</w:t>
      </w:r>
      <w:r w:rsidR="00996009" w:rsidRPr="00F64E77">
        <w:rPr>
          <w:rFonts w:hint="eastAsia"/>
          <w:sz w:val="28"/>
          <w:szCs w:val="28"/>
        </w:rPr>
        <w:t>部门来管理可持续相关事务，并</w:t>
      </w:r>
      <w:r w:rsidR="00431F09" w:rsidRPr="00F64E77">
        <w:rPr>
          <w:rFonts w:hint="eastAsia"/>
          <w:sz w:val="28"/>
          <w:szCs w:val="28"/>
        </w:rPr>
        <w:t>全面融入管理职责与日常运营</w:t>
      </w:r>
      <w:r w:rsidR="00996009" w:rsidRPr="00F64E77">
        <w:rPr>
          <w:rFonts w:hint="eastAsia"/>
          <w:sz w:val="28"/>
          <w:szCs w:val="28"/>
        </w:rPr>
        <w:t>。</w:t>
      </w:r>
      <w:r w:rsidR="002D534E">
        <w:rPr>
          <w:rFonts w:hint="eastAsia"/>
          <w:sz w:val="28"/>
          <w:szCs w:val="28"/>
        </w:rPr>
        <w:t xml:space="preserve"> </w:t>
      </w:r>
    </w:p>
    <w:p w14:paraId="1CF47915" w14:textId="59398B48" w:rsidR="004B5883" w:rsidRPr="00F64E77" w:rsidRDefault="002D534E" w:rsidP="004B5883">
      <w:pPr>
        <w:pStyle w:val="-05-15"/>
        <w:ind w:firstLine="560"/>
        <w:rPr>
          <w:rFonts w:hint="eastAsia"/>
          <w:sz w:val="28"/>
          <w:szCs w:val="28"/>
        </w:rPr>
      </w:pPr>
      <w:r>
        <w:rPr>
          <w:rFonts w:hint="eastAsia"/>
          <w:sz w:val="28"/>
          <w:szCs w:val="28"/>
        </w:rPr>
        <w:t>在技术投资方面，</w:t>
      </w:r>
      <w:r w:rsidR="004B5883" w:rsidRPr="00F64E77">
        <w:rPr>
          <w:rFonts w:hint="eastAsia"/>
          <w:sz w:val="28"/>
          <w:szCs w:val="28"/>
        </w:rPr>
        <w:t>通过股权形式布局早期低碳技术是业内较为常见的模式。</w:t>
      </w:r>
      <w:r>
        <w:rPr>
          <w:rFonts w:hint="eastAsia"/>
          <w:sz w:val="28"/>
          <w:szCs w:val="28"/>
        </w:rPr>
        <w:t>比如，</w:t>
      </w:r>
      <w:r w:rsidRPr="00F64E77">
        <w:rPr>
          <w:sz w:val="28"/>
          <w:szCs w:val="28"/>
        </w:rPr>
        <w:t xml:space="preserve"> </w:t>
      </w:r>
      <w:r w:rsidR="004B5883" w:rsidRPr="00F64E77">
        <w:rPr>
          <w:sz w:val="28"/>
          <w:szCs w:val="28"/>
        </w:rPr>
        <w:t>CMA在2022年设立了能源基金PULSE，预计在五年内投入15亿欧元，目前已投40个项目，如太阳能电池板超级工厂、电动货车生产、移动充电站等。在低碳船舶订造与改造上，航运企业主要通过自有资金、信贷、债券、租赁与资本市场股权融资等方式来筹集资金。</w:t>
      </w:r>
    </w:p>
    <w:p w14:paraId="19E604FB" w14:textId="54977A76" w:rsidR="004B5883" w:rsidRPr="00F64E77" w:rsidRDefault="002D534E" w:rsidP="00996009">
      <w:pPr>
        <w:pStyle w:val="-05-15"/>
        <w:ind w:firstLine="560"/>
        <w:rPr>
          <w:rFonts w:hint="eastAsia"/>
          <w:sz w:val="28"/>
          <w:szCs w:val="28"/>
        </w:rPr>
      </w:pPr>
      <w:r>
        <w:rPr>
          <w:rFonts w:hint="eastAsia"/>
          <w:sz w:val="28"/>
          <w:szCs w:val="28"/>
        </w:rPr>
        <w:t>在产品服务方面，</w:t>
      </w:r>
      <w:r w:rsidR="008039C8" w:rsidRPr="00F64E77">
        <w:rPr>
          <w:rFonts w:hint="eastAsia"/>
          <w:sz w:val="28"/>
          <w:szCs w:val="28"/>
        </w:rPr>
        <w:t>转型领先的航运企业</w:t>
      </w:r>
      <w:r w:rsidR="009D085F">
        <w:rPr>
          <w:rFonts w:hint="eastAsia"/>
          <w:sz w:val="28"/>
          <w:szCs w:val="28"/>
        </w:rPr>
        <w:t>开创了绿色航运服务</w:t>
      </w:r>
      <w:r w:rsidR="004B5883" w:rsidRPr="00F64E77">
        <w:rPr>
          <w:rFonts w:hint="eastAsia"/>
          <w:sz w:val="28"/>
          <w:szCs w:val="28"/>
        </w:rPr>
        <w:t>，并向客户提供第三方认证的减排证明。</w:t>
      </w:r>
      <w:r w:rsidR="005353DE">
        <w:rPr>
          <w:rFonts w:hint="eastAsia"/>
          <w:sz w:val="28"/>
          <w:szCs w:val="28"/>
        </w:rPr>
        <w:t>例如，</w:t>
      </w:r>
      <w:r w:rsidR="004B5883" w:rsidRPr="00F64E77">
        <w:rPr>
          <w:rFonts w:hint="eastAsia"/>
          <w:sz w:val="28"/>
          <w:szCs w:val="28"/>
        </w:rPr>
        <w:t>马士基设立了环保运输（ECO</w:t>
      </w:r>
      <w:r w:rsidR="004B5883" w:rsidRPr="00F64E77">
        <w:rPr>
          <w:sz w:val="28"/>
          <w:szCs w:val="28"/>
        </w:rPr>
        <w:t xml:space="preserve"> </w:t>
      </w:r>
      <w:r w:rsidR="004B5883" w:rsidRPr="00F64E77">
        <w:rPr>
          <w:rFonts w:hint="eastAsia"/>
          <w:sz w:val="28"/>
          <w:szCs w:val="28"/>
        </w:rPr>
        <w:t>Delivery）低排放产品线，覆盖海运、陆运和空运。CMA</w:t>
      </w:r>
      <w:r w:rsidR="007F7311">
        <w:rPr>
          <w:rFonts w:hint="eastAsia"/>
          <w:sz w:val="28"/>
          <w:szCs w:val="28"/>
        </w:rPr>
        <w:t>则</w:t>
      </w:r>
      <w:r w:rsidR="004B5883" w:rsidRPr="00F64E77">
        <w:rPr>
          <w:rFonts w:hint="eastAsia"/>
          <w:sz w:val="28"/>
          <w:szCs w:val="28"/>
        </w:rPr>
        <w:t>开设了“行动+（ACT</w:t>
      </w:r>
      <w:r w:rsidR="004B5883" w:rsidRPr="00F64E77">
        <w:rPr>
          <w:sz w:val="28"/>
          <w:szCs w:val="28"/>
        </w:rPr>
        <w:t>+</w:t>
      </w:r>
      <w:r w:rsidR="004B5883" w:rsidRPr="00F64E77">
        <w:rPr>
          <w:rFonts w:hint="eastAsia"/>
          <w:sz w:val="28"/>
          <w:szCs w:val="28"/>
        </w:rPr>
        <w:t>）”低碳航运服务，提供生物燃油（B</w:t>
      </w:r>
      <w:r w:rsidR="004B5883" w:rsidRPr="00F64E77">
        <w:rPr>
          <w:sz w:val="28"/>
          <w:szCs w:val="28"/>
        </w:rPr>
        <w:t>iofuel+</w:t>
      </w:r>
      <w:r w:rsidR="004B5883" w:rsidRPr="00F64E77">
        <w:rPr>
          <w:rFonts w:hint="eastAsia"/>
          <w:sz w:val="28"/>
          <w:szCs w:val="28"/>
        </w:rPr>
        <w:t>）、混合生物燃油（Mix</w:t>
      </w:r>
      <w:r w:rsidR="004B5883" w:rsidRPr="00F64E77">
        <w:rPr>
          <w:sz w:val="28"/>
          <w:szCs w:val="28"/>
        </w:rPr>
        <w:t>-</w:t>
      </w:r>
      <w:r w:rsidR="004B5883" w:rsidRPr="00F64E77">
        <w:rPr>
          <w:rFonts w:hint="eastAsia"/>
          <w:sz w:val="28"/>
          <w:szCs w:val="28"/>
        </w:rPr>
        <w:t>Biofuel）和混合生物甲烷（Mix</w:t>
      </w:r>
      <w:r w:rsidR="004B5883" w:rsidRPr="00F64E77">
        <w:rPr>
          <w:sz w:val="28"/>
          <w:szCs w:val="28"/>
        </w:rPr>
        <w:t>-</w:t>
      </w:r>
      <w:r w:rsidR="004B5883" w:rsidRPr="00F64E77">
        <w:rPr>
          <w:rFonts w:hint="eastAsia"/>
          <w:sz w:val="28"/>
          <w:szCs w:val="28"/>
        </w:rPr>
        <w:t>Biomethane）三种产品，分别对应8</w:t>
      </w:r>
      <w:r w:rsidR="004B5883" w:rsidRPr="00F64E77">
        <w:rPr>
          <w:sz w:val="28"/>
          <w:szCs w:val="28"/>
        </w:rPr>
        <w:t>4%</w:t>
      </w:r>
      <w:r w:rsidR="004B5883" w:rsidRPr="00F64E77">
        <w:rPr>
          <w:rFonts w:hint="eastAsia"/>
          <w:sz w:val="28"/>
          <w:szCs w:val="28"/>
        </w:rPr>
        <w:t>、1</w:t>
      </w:r>
      <w:r w:rsidR="004B5883" w:rsidRPr="00F64E77">
        <w:rPr>
          <w:sz w:val="28"/>
          <w:szCs w:val="28"/>
        </w:rPr>
        <w:t>0%</w:t>
      </w:r>
      <w:r w:rsidR="004B5883" w:rsidRPr="00F64E77">
        <w:rPr>
          <w:rFonts w:hint="eastAsia"/>
          <w:sz w:val="28"/>
          <w:szCs w:val="28"/>
        </w:rPr>
        <w:t>和2</w:t>
      </w:r>
      <w:r w:rsidR="004B5883" w:rsidRPr="00F64E77">
        <w:rPr>
          <w:sz w:val="28"/>
          <w:szCs w:val="28"/>
        </w:rPr>
        <w:t>5%</w:t>
      </w:r>
      <w:r w:rsidR="004B5883" w:rsidRPr="00F64E77">
        <w:rPr>
          <w:rFonts w:hint="eastAsia"/>
          <w:sz w:val="28"/>
          <w:szCs w:val="28"/>
        </w:rPr>
        <w:t>的减排量。HPL的绿色航运（</w:t>
      </w:r>
      <w:r w:rsidR="004B5883" w:rsidRPr="00F64E77">
        <w:rPr>
          <w:sz w:val="28"/>
          <w:szCs w:val="28"/>
        </w:rPr>
        <w:t>Ship Green</w:t>
      </w:r>
      <w:r w:rsidR="004B5883" w:rsidRPr="00F64E77">
        <w:rPr>
          <w:rFonts w:hint="eastAsia"/>
          <w:sz w:val="28"/>
          <w:szCs w:val="28"/>
        </w:rPr>
        <w:t>）</w:t>
      </w:r>
      <w:r w:rsidR="007F7311">
        <w:rPr>
          <w:rFonts w:hint="eastAsia"/>
          <w:sz w:val="28"/>
          <w:szCs w:val="28"/>
        </w:rPr>
        <w:t>则</w:t>
      </w:r>
      <w:r w:rsidR="004B5883" w:rsidRPr="00F64E77">
        <w:rPr>
          <w:sz w:val="28"/>
          <w:szCs w:val="28"/>
        </w:rPr>
        <w:t>提供三种减排等级（-25%，-50%或-100%）的</w:t>
      </w:r>
      <w:r w:rsidR="004B5883" w:rsidRPr="00F64E77">
        <w:rPr>
          <w:rFonts w:hint="eastAsia"/>
          <w:sz w:val="28"/>
          <w:szCs w:val="28"/>
        </w:rPr>
        <w:t>航运</w:t>
      </w:r>
      <w:r w:rsidR="004B5883" w:rsidRPr="00F64E77">
        <w:rPr>
          <w:sz w:val="28"/>
          <w:szCs w:val="28"/>
        </w:rPr>
        <w:t>服务</w:t>
      </w:r>
      <w:r w:rsidR="004B5883" w:rsidRPr="00F64E77">
        <w:rPr>
          <w:rFonts w:hint="eastAsia"/>
          <w:sz w:val="28"/>
          <w:szCs w:val="28"/>
        </w:rPr>
        <w:t>。</w:t>
      </w:r>
    </w:p>
    <w:p w14:paraId="4D7D67A0" w14:textId="77777777" w:rsidR="00996009" w:rsidRPr="00F64E77" w:rsidRDefault="00996009" w:rsidP="00996009">
      <w:pPr>
        <w:pStyle w:val="3"/>
        <w:numPr>
          <w:ilvl w:val="0"/>
          <w:numId w:val="11"/>
        </w:numPr>
        <w:spacing w:before="156" w:after="156"/>
        <w:rPr>
          <w:rFonts w:asciiTheme="majorHAnsi" w:eastAsiaTheme="majorHAnsi" w:hAnsiTheme="majorHAnsi" w:hint="eastAsia"/>
          <w:sz w:val="28"/>
          <w:szCs w:val="28"/>
        </w:rPr>
      </w:pPr>
      <w:r w:rsidRPr="00F64E77">
        <w:rPr>
          <w:rFonts w:asciiTheme="majorHAnsi" w:eastAsiaTheme="majorHAnsi" w:hAnsiTheme="majorHAnsi" w:hint="eastAsia"/>
          <w:sz w:val="28"/>
          <w:szCs w:val="28"/>
        </w:rPr>
        <w:t>加强国际合作，参与全球气候治理</w:t>
      </w:r>
    </w:p>
    <w:p w14:paraId="5EFD3718" w14:textId="6DDE4F36" w:rsidR="00996009" w:rsidRPr="00F64E77" w:rsidRDefault="00996009" w:rsidP="00996009">
      <w:pPr>
        <w:pStyle w:val="-05-15"/>
        <w:ind w:firstLine="560"/>
        <w:rPr>
          <w:rFonts w:hint="eastAsia"/>
          <w:sz w:val="28"/>
          <w:szCs w:val="28"/>
        </w:rPr>
      </w:pPr>
      <w:r w:rsidRPr="00F64E77">
        <w:rPr>
          <w:rFonts w:hint="eastAsia"/>
          <w:sz w:val="28"/>
          <w:szCs w:val="28"/>
        </w:rPr>
        <w:t>航运业低碳减排是全球气候治理的重要组成部分</w:t>
      </w:r>
      <w:r w:rsidR="004B5883" w:rsidRPr="00F64E77">
        <w:rPr>
          <w:rFonts w:hint="eastAsia"/>
          <w:sz w:val="28"/>
          <w:szCs w:val="28"/>
        </w:rPr>
        <w:t>。</w:t>
      </w:r>
      <w:r w:rsidRPr="00F64E77">
        <w:rPr>
          <w:rFonts w:hint="eastAsia"/>
          <w:sz w:val="28"/>
          <w:szCs w:val="28"/>
        </w:rPr>
        <w:t>在</w:t>
      </w:r>
      <w:r w:rsidR="00556058" w:rsidRPr="00556058">
        <w:rPr>
          <w:sz w:val="28"/>
          <w:szCs w:val="28"/>
        </w:rPr>
        <w:t>第28届联合国气候变化大会</w:t>
      </w:r>
      <w:r w:rsidR="00556058">
        <w:rPr>
          <w:rFonts w:hint="eastAsia"/>
          <w:sz w:val="28"/>
          <w:szCs w:val="28"/>
        </w:rPr>
        <w:t>（</w:t>
      </w:r>
      <w:r w:rsidRPr="00F64E77">
        <w:rPr>
          <w:rFonts w:hint="eastAsia"/>
          <w:sz w:val="28"/>
          <w:szCs w:val="28"/>
        </w:rPr>
        <w:t>COP</w:t>
      </w:r>
      <w:r w:rsidRPr="00F64E77">
        <w:rPr>
          <w:sz w:val="28"/>
          <w:szCs w:val="28"/>
        </w:rPr>
        <w:t>28</w:t>
      </w:r>
      <w:r w:rsidR="00556058">
        <w:rPr>
          <w:rFonts w:hint="eastAsia"/>
          <w:sz w:val="28"/>
          <w:szCs w:val="28"/>
        </w:rPr>
        <w:t>）上</w:t>
      </w:r>
      <w:r w:rsidRPr="00F64E77">
        <w:rPr>
          <w:rFonts w:hint="eastAsia"/>
          <w:sz w:val="28"/>
          <w:szCs w:val="28"/>
        </w:rPr>
        <w:t>，马士基、MSC、CMA、HPL与挪威汽车运输船运营商华伦威尔森（</w:t>
      </w:r>
      <w:r w:rsidRPr="00F64E77">
        <w:rPr>
          <w:sz w:val="28"/>
          <w:szCs w:val="28"/>
        </w:rPr>
        <w:t>Wallenius Wilhemsen</w:t>
      </w:r>
      <w:r w:rsidRPr="00F64E77">
        <w:rPr>
          <w:rFonts w:hint="eastAsia"/>
          <w:sz w:val="28"/>
          <w:szCs w:val="28"/>
        </w:rPr>
        <w:t>）</w:t>
      </w:r>
      <w:r w:rsidR="00802051">
        <w:rPr>
          <w:rFonts w:hint="eastAsia"/>
          <w:sz w:val="28"/>
          <w:szCs w:val="28"/>
        </w:rPr>
        <w:t>共同</w:t>
      </w:r>
      <w:r w:rsidRPr="00F64E77">
        <w:rPr>
          <w:rFonts w:hint="eastAsia"/>
          <w:sz w:val="28"/>
          <w:szCs w:val="28"/>
        </w:rPr>
        <w:t>签署</w:t>
      </w:r>
      <w:r w:rsidR="00F15E09">
        <w:rPr>
          <w:rFonts w:hint="eastAsia"/>
          <w:sz w:val="28"/>
          <w:szCs w:val="28"/>
        </w:rPr>
        <w:t>《</w:t>
      </w:r>
      <w:r w:rsidRPr="00F64E77">
        <w:rPr>
          <w:rFonts w:hint="eastAsia"/>
          <w:sz w:val="28"/>
          <w:szCs w:val="28"/>
        </w:rPr>
        <w:t>联</w:t>
      </w:r>
      <w:r w:rsidRPr="00F64E77">
        <w:rPr>
          <w:rFonts w:hint="eastAsia"/>
          <w:sz w:val="28"/>
          <w:szCs w:val="28"/>
        </w:rPr>
        <w:lastRenderedPageBreak/>
        <w:t>合声明</w:t>
      </w:r>
      <w:r w:rsidR="00F15E09">
        <w:rPr>
          <w:rFonts w:hint="eastAsia"/>
          <w:sz w:val="28"/>
          <w:szCs w:val="28"/>
        </w:rPr>
        <w:t>》</w:t>
      </w:r>
      <w:r w:rsidRPr="00F64E77">
        <w:rPr>
          <w:rFonts w:hint="eastAsia"/>
          <w:sz w:val="28"/>
          <w:szCs w:val="28"/>
        </w:rPr>
        <w:t>，呼吁</w:t>
      </w:r>
      <w:r w:rsidR="000D1074">
        <w:rPr>
          <w:rFonts w:hint="eastAsia"/>
          <w:sz w:val="28"/>
          <w:szCs w:val="28"/>
        </w:rPr>
        <w:t>建立</w:t>
      </w:r>
      <w:r w:rsidRPr="00F64E77">
        <w:rPr>
          <w:rFonts w:hint="eastAsia"/>
          <w:sz w:val="28"/>
          <w:szCs w:val="28"/>
        </w:rPr>
        <w:t>四项减排管理支柱：一是</w:t>
      </w:r>
      <w:r w:rsidR="00FF0B7B">
        <w:rPr>
          <w:rFonts w:hint="eastAsia"/>
          <w:sz w:val="28"/>
          <w:szCs w:val="28"/>
        </w:rPr>
        <w:t>为</w:t>
      </w:r>
      <w:r w:rsidRPr="00F64E77">
        <w:rPr>
          <w:rFonts w:hint="eastAsia"/>
          <w:sz w:val="28"/>
          <w:szCs w:val="28"/>
        </w:rPr>
        <w:t>化石燃料船舶</w:t>
      </w:r>
      <w:r w:rsidR="00FF0B7B">
        <w:rPr>
          <w:rFonts w:hint="eastAsia"/>
          <w:sz w:val="28"/>
          <w:szCs w:val="28"/>
        </w:rPr>
        <w:t>设定</w:t>
      </w:r>
      <w:r w:rsidRPr="00F64E77">
        <w:rPr>
          <w:rFonts w:hint="eastAsia"/>
          <w:sz w:val="28"/>
          <w:szCs w:val="28"/>
        </w:rPr>
        <w:t>淘汰日期</w:t>
      </w:r>
      <w:r w:rsidR="000C27B7">
        <w:rPr>
          <w:rFonts w:hint="eastAsia"/>
          <w:sz w:val="28"/>
          <w:szCs w:val="28"/>
        </w:rPr>
        <w:t>，并制定温室气体强度标准时间表</w:t>
      </w:r>
      <w:r w:rsidR="002234A3">
        <w:rPr>
          <w:rFonts w:hint="eastAsia"/>
          <w:sz w:val="28"/>
          <w:szCs w:val="28"/>
        </w:rPr>
        <w:t>；</w:t>
      </w:r>
      <w:r w:rsidRPr="00F64E77">
        <w:rPr>
          <w:rFonts w:hint="eastAsia"/>
          <w:sz w:val="28"/>
          <w:szCs w:val="28"/>
        </w:rPr>
        <w:t>二是</w:t>
      </w:r>
      <w:r w:rsidR="00FF0B7B">
        <w:rPr>
          <w:rFonts w:hint="eastAsia"/>
          <w:sz w:val="28"/>
          <w:szCs w:val="28"/>
        </w:rPr>
        <w:t>设定有效的</w:t>
      </w:r>
      <w:r w:rsidR="00FF0B7B" w:rsidRPr="00FF0B7B">
        <w:rPr>
          <w:sz w:val="28"/>
          <w:szCs w:val="28"/>
        </w:rPr>
        <w:t>温室气体定价机制</w:t>
      </w:r>
      <w:r w:rsidR="00FF0B7B">
        <w:rPr>
          <w:rFonts w:hint="eastAsia"/>
          <w:sz w:val="28"/>
          <w:szCs w:val="28"/>
        </w:rPr>
        <w:t>，</w:t>
      </w:r>
      <w:r w:rsidR="00FF0B7B" w:rsidRPr="00FF0B7B">
        <w:rPr>
          <w:rFonts w:hint="eastAsia"/>
          <w:sz w:val="28"/>
          <w:szCs w:val="28"/>
        </w:rPr>
        <w:t>使得在燃料过渡阶段，绿色燃料比化石燃料更具有竞争力</w:t>
      </w:r>
      <w:r w:rsidR="002234A3">
        <w:rPr>
          <w:rFonts w:hint="eastAsia"/>
          <w:sz w:val="28"/>
          <w:szCs w:val="28"/>
        </w:rPr>
        <w:t>；三是</w:t>
      </w:r>
      <w:r w:rsidR="00D44C06" w:rsidRPr="00D44C06">
        <w:rPr>
          <w:rFonts w:hint="eastAsia"/>
          <w:sz w:val="28"/>
          <w:szCs w:val="28"/>
        </w:rPr>
        <w:t>支持引入“船舶池化”（Pooling）选项</w:t>
      </w:r>
      <w:r w:rsidR="00D44C06">
        <w:rPr>
          <w:rFonts w:hint="eastAsia"/>
          <w:sz w:val="28"/>
          <w:szCs w:val="28"/>
        </w:rPr>
        <w:t>，即</w:t>
      </w:r>
      <w:r w:rsidR="00D44C06" w:rsidRPr="00D44C06">
        <w:rPr>
          <w:sz w:val="28"/>
          <w:szCs w:val="28"/>
        </w:rPr>
        <w:t>多条船可以将合规的情况合并结算</w:t>
      </w:r>
      <w:r w:rsidR="002234A3">
        <w:rPr>
          <w:rFonts w:hint="eastAsia"/>
          <w:sz w:val="28"/>
          <w:szCs w:val="28"/>
        </w:rPr>
        <w:t>，</w:t>
      </w:r>
      <w:r w:rsidRPr="00F64E77">
        <w:rPr>
          <w:rFonts w:hint="eastAsia"/>
          <w:sz w:val="28"/>
          <w:szCs w:val="28"/>
        </w:rPr>
        <w:t>四是在既定管理框架内使用“油井到航迹”全生命周期排放计算方法。此外，马士基、CMA还与法国、韩国和丹麦政府签署了《公私合作承诺》（</w:t>
      </w:r>
      <w:r w:rsidRPr="00F64E77">
        <w:rPr>
          <w:sz w:val="28"/>
          <w:szCs w:val="28"/>
        </w:rPr>
        <w:t>Public Private Partnership Commitment</w:t>
      </w:r>
      <w:r w:rsidRPr="00F64E77">
        <w:rPr>
          <w:rFonts w:hint="eastAsia"/>
          <w:sz w:val="28"/>
          <w:szCs w:val="28"/>
        </w:rPr>
        <w:t>），呼吁IMO遵循《巴黎协定》，向更高的温室气体战略目标努力。</w:t>
      </w:r>
      <w:r w:rsidR="00BB4C78">
        <w:rPr>
          <w:rFonts w:hint="eastAsia"/>
          <w:sz w:val="28"/>
          <w:szCs w:val="28"/>
        </w:rPr>
        <w:t>再如，CMA、ONE等均参与了</w:t>
      </w:r>
      <w:r w:rsidRPr="00F64E77">
        <w:rPr>
          <w:rFonts w:hint="eastAsia"/>
          <w:sz w:val="28"/>
          <w:szCs w:val="28"/>
        </w:rPr>
        <w:t>鹿特丹-新加坡绿色与数字航运走廊</w:t>
      </w:r>
      <w:r w:rsidR="00BB4C78">
        <w:rPr>
          <w:rFonts w:hint="eastAsia"/>
          <w:sz w:val="28"/>
          <w:szCs w:val="28"/>
        </w:rPr>
        <w:t>，</w:t>
      </w:r>
      <w:r w:rsidRPr="00F64E77">
        <w:rPr>
          <w:rFonts w:hint="eastAsia"/>
          <w:sz w:val="28"/>
          <w:szCs w:val="28"/>
        </w:rPr>
        <w:t>旨在2</w:t>
      </w:r>
      <w:r w:rsidRPr="00F64E77">
        <w:rPr>
          <w:sz w:val="28"/>
          <w:szCs w:val="28"/>
        </w:rPr>
        <w:t>030</w:t>
      </w:r>
      <w:r w:rsidRPr="00F64E77">
        <w:rPr>
          <w:rFonts w:hint="eastAsia"/>
          <w:sz w:val="28"/>
          <w:szCs w:val="28"/>
        </w:rPr>
        <w:t>年前降低航线</w:t>
      </w:r>
      <w:r w:rsidRPr="00F64E77">
        <w:rPr>
          <w:sz w:val="28"/>
          <w:szCs w:val="28"/>
        </w:rPr>
        <w:t>20%-30%的</w:t>
      </w:r>
      <w:r w:rsidRPr="00F64E77">
        <w:rPr>
          <w:rFonts w:hint="eastAsia"/>
          <w:sz w:val="28"/>
          <w:szCs w:val="28"/>
        </w:rPr>
        <w:t>排放，最终目标是2</w:t>
      </w:r>
      <w:r w:rsidRPr="00F64E77">
        <w:rPr>
          <w:sz w:val="28"/>
          <w:szCs w:val="28"/>
        </w:rPr>
        <w:t>050</w:t>
      </w:r>
      <w:r w:rsidRPr="00F64E77">
        <w:rPr>
          <w:rFonts w:hint="eastAsia"/>
          <w:sz w:val="28"/>
          <w:szCs w:val="28"/>
        </w:rPr>
        <w:t>年前实现净零排放。</w:t>
      </w:r>
    </w:p>
    <w:p w14:paraId="333788FC" w14:textId="56D31D12" w:rsidR="00996009" w:rsidRPr="00F64E77" w:rsidRDefault="00996009" w:rsidP="00996009">
      <w:pPr>
        <w:pStyle w:val="-05-15"/>
        <w:ind w:firstLine="560"/>
        <w:rPr>
          <w:rFonts w:hint="eastAsia"/>
          <w:sz w:val="28"/>
          <w:szCs w:val="28"/>
        </w:rPr>
      </w:pPr>
      <w:r w:rsidRPr="00F64E77">
        <w:rPr>
          <w:rFonts w:hint="eastAsia"/>
          <w:sz w:val="28"/>
          <w:szCs w:val="28"/>
        </w:rPr>
        <w:t>企业间的合作倡议也是不可或缺的一部分，比如</w:t>
      </w:r>
      <w:r w:rsidR="001D17ED" w:rsidRPr="001D17ED">
        <w:rPr>
          <w:sz w:val="28"/>
          <w:szCs w:val="28"/>
        </w:rPr>
        <w:t>非盈利组织</w:t>
      </w:r>
      <w:r w:rsidRPr="00F64E77">
        <w:rPr>
          <w:rFonts w:hint="eastAsia"/>
          <w:sz w:val="28"/>
          <w:szCs w:val="28"/>
        </w:rPr>
        <w:t>全球海事脱碳中心（</w:t>
      </w:r>
      <w:r w:rsidRPr="00F64E77">
        <w:rPr>
          <w:sz w:val="28"/>
          <w:szCs w:val="28"/>
        </w:rPr>
        <w:t>Global Centre For Maritime Decarbonization</w:t>
      </w:r>
      <w:r w:rsidRPr="00F64E77">
        <w:rPr>
          <w:rFonts w:hint="eastAsia"/>
          <w:sz w:val="28"/>
          <w:szCs w:val="28"/>
        </w:rPr>
        <w:t>，简称GCMD）</w:t>
      </w:r>
      <w:r w:rsidR="001D17ED">
        <w:rPr>
          <w:rFonts w:hint="eastAsia"/>
          <w:sz w:val="28"/>
          <w:szCs w:val="28"/>
        </w:rPr>
        <w:t>签署了多项合作协议</w:t>
      </w:r>
      <w:r w:rsidRPr="00F64E77">
        <w:rPr>
          <w:rFonts w:hint="eastAsia"/>
          <w:sz w:val="28"/>
          <w:szCs w:val="28"/>
        </w:rPr>
        <w:t>，旨在支持航运业脱碳，实现或超越IMO的2</w:t>
      </w:r>
      <w:r w:rsidRPr="00F64E77">
        <w:rPr>
          <w:sz w:val="28"/>
          <w:szCs w:val="28"/>
        </w:rPr>
        <w:t>030</w:t>
      </w:r>
      <w:r w:rsidRPr="00F64E77">
        <w:rPr>
          <w:rFonts w:hint="eastAsia"/>
          <w:sz w:val="28"/>
          <w:szCs w:val="28"/>
        </w:rPr>
        <w:t>和2</w:t>
      </w:r>
      <w:r w:rsidRPr="00F64E77">
        <w:rPr>
          <w:sz w:val="28"/>
          <w:szCs w:val="28"/>
        </w:rPr>
        <w:t>050</w:t>
      </w:r>
      <w:r w:rsidRPr="00F64E77">
        <w:rPr>
          <w:rFonts w:hint="eastAsia"/>
          <w:sz w:val="28"/>
          <w:szCs w:val="28"/>
        </w:rPr>
        <w:t>目标；</w:t>
      </w:r>
      <w:r w:rsidR="001D17ED">
        <w:rPr>
          <w:rFonts w:hint="eastAsia"/>
          <w:sz w:val="28"/>
          <w:szCs w:val="28"/>
        </w:rPr>
        <w:t>再比如</w:t>
      </w:r>
      <w:r w:rsidR="001D17ED" w:rsidRPr="001D17ED">
        <w:rPr>
          <w:sz w:val="28"/>
          <w:szCs w:val="28"/>
        </w:rPr>
        <w:t>2004年创立的企业间领导力倡议</w:t>
      </w:r>
      <w:r w:rsidR="001D17ED">
        <w:rPr>
          <w:rFonts w:hint="eastAsia"/>
          <w:sz w:val="28"/>
          <w:szCs w:val="28"/>
        </w:rPr>
        <w:t>-</w:t>
      </w:r>
      <w:r w:rsidRPr="00F64E77">
        <w:rPr>
          <w:rFonts w:hint="eastAsia"/>
          <w:sz w:val="28"/>
          <w:szCs w:val="28"/>
        </w:rPr>
        <w:t>清洁货运（Clean</w:t>
      </w:r>
      <w:r w:rsidRPr="00F64E77">
        <w:rPr>
          <w:sz w:val="28"/>
          <w:szCs w:val="28"/>
        </w:rPr>
        <w:t xml:space="preserve"> </w:t>
      </w:r>
      <w:r w:rsidRPr="00F64E77">
        <w:rPr>
          <w:rFonts w:hint="eastAsia"/>
          <w:sz w:val="28"/>
          <w:szCs w:val="28"/>
        </w:rPr>
        <w:t>Cargo），致力于减少全球货运对环境的影响</w:t>
      </w:r>
      <w:r w:rsidR="001D17ED" w:rsidRPr="001D17ED">
        <w:rPr>
          <w:sz w:val="28"/>
          <w:szCs w:val="28"/>
        </w:rPr>
        <w:t>并促进负责任航运发展</w:t>
      </w:r>
      <w:r w:rsidRPr="00F64E77">
        <w:rPr>
          <w:rFonts w:hint="eastAsia"/>
          <w:sz w:val="28"/>
          <w:szCs w:val="28"/>
        </w:rPr>
        <w:t>。</w:t>
      </w:r>
    </w:p>
    <w:p w14:paraId="794B87D7" w14:textId="04BC703F" w:rsidR="00F5560F" w:rsidRDefault="00954333" w:rsidP="0079618C">
      <w:pPr>
        <w:pStyle w:val="2"/>
        <w:numPr>
          <w:ilvl w:val="0"/>
          <w:numId w:val="2"/>
        </w:numPr>
        <w:spacing w:before="156" w:after="156"/>
        <w:rPr>
          <w:rFonts w:asciiTheme="minorHAnsi" w:eastAsiaTheme="minorHAnsi" w:hAnsiTheme="minorHAnsi" w:hint="eastAsia"/>
          <w:sz w:val="28"/>
          <w:szCs w:val="28"/>
        </w:rPr>
      </w:pPr>
      <w:r>
        <w:rPr>
          <w:rFonts w:asciiTheme="minorHAnsi" w:eastAsiaTheme="minorHAnsi" w:hAnsiTheme="minorHAnsi" w:hint="eastAsia"/>
          <w:sz w:val="28"/>
          <w:szCs w:val="28"/>
        </w:rPr>
        <w:t>对</w:t>
      </w:r>
      <w:r w:rsidR="00BC7813" w:rsidRPr="00F64E77">
        <w:rPr>
          <w:rFonts w:asciiTheme="minorHAnsi" w:eastAsiaTheme="minorHAnsi" w:hAnsiTheme="minorHAnsi" w:hint="eastAsia"/>
          <w:sz w:val="28"/>
          <w:szCs w:val="28"/>
        </w:rPr>
        <w:t>我国航运企业低碳转型</w:t>
      </w:r>
      <w:r>
        <w:rPr>
          <w:rFonts w:asciiTheme="minorHAnsi" w:eastAsiaTheme="minorHAnsi" w:hAnsiTheme="minorHAnsi" w:hint="eastAsia"/>
          <w:sz w:val="28"/>
          <w:szCs w:val="28"/>
        </w:rPr>
        <w:t>的</w:t>
      </w:r>
      <w:r w:rsidR="004C4492">
        <w:rPr>
          <w:rFonts w:asciiTheme="minorHAnsi" w:eastAsiaTheme="minorHAnsi" w:hAnsiTheme="minorHAnsi" w:hint="eastAsia"/>
          <w:sz w:val="28"/>
          <w:szCs w:val="28"/>
        </w:rPr>
        <w:t>建议</w:t>
      </w:r>
    </w:p>
    <w:p w14:paraId="24B407D8" w14:textId="76F4CE72" w:rsidR="004C4492" w:rsidRPr="004C4492" w:rsidRDefault="004C4492" w:rsidP="004C4492">
      <w:pPr>
        <w:ind w:firstLine="420"/>
        <w:rPr>
          <w:rFonts w:hint="eastAsia"/>
          <w:sz w:val="28"/>
          <w:szCs w:val="28"/>
        </w:rPr>
      </w:pPr>
      <w:r w:rsidRPr="004C4492">
        <w:rPr>
          <w:rFonts w:hint="eastAsia"/>
          <w:sz w:val="28"/>
          <w:szCs w:val="28"/>
        </w:rPr>
        <w:t>基于国内外运航运</w:t>
      </w:r>
      <w:r>
        <w:rPr>
          <w:rFonts w:hint="eastAsia"/>
          <w:sz w:val="28"/>
          <w:szCs w:val="28"/>
        </w:rPr>
        <w:t>业</w:t>
      </w:r>
      <w:r w:rsidRPr="004C4492">
        <w:rPr>
          <w:rFonts w:hint="eastAsia"/>
          <w:sz w:val="28"/>
          <w:szCs w:val="28"/>
        </w:rPr>
        <w:t>碳中和的技术、标准和市场变化趋势，以及一些国际航运企业的领先做法，我们对我国航运企业提出如下建议：</w:t>
      </w:r>
    </w:p>
    <w:p w14:paraId="00330639" w14:textId="0971EF57" w:rsidR="00CC5BF5" w:rsidRPr="00F64E77" w:rsidRDefault="0057798D" w:rsidP="00CC5BF5">
      <w:pPr>
        <w:pStyle w:val="3"/>
        <w:numPr>
          <w:ilvl w:val="0"/>
          <w:numId w:val="12"/>
        </w:numPr>
        <w:spacing w:before="156" w:after="156"/>
        <w:rPr>
          <w:rFonts w:asciiTheme="majorHAnsi" w:eastAsiaTheme="majorHAnsi" w:hAnsiTheme="majorHAnsi" w:hint="eastAsia"/>
          <w:sz w:val="28"/>
          <w:szCs w:val="28"/>
        </w:rPr>
      </w:pPr>
      <w:r>
        <w:rPr>
          <w:rFonts w:asciiTheme="majorHAnsi" w:eastAsiaTheme="majorHAnsi" w:hAnsiTheme="majorHAnsi" w:hint="eastAsia"/>
          <w:sz w:val="28"/>
          <w:szCs w:val="28"/>
        </w:rPr>
        <w:t>明确转型计划</w:t>
      </w:r>
    </w:p>
    <w:p w14:paraId="252E78BD" w14:textId="77777777" w:rsidR="00AD429A" w:rsidRDefault="008039C8" w:rsidP="00AD429A">
      <w:pPr>
        <w:pStyle w:val="-05-15"/>
        <w:ind w:firstLine="560"/>
        <w:rPr>
          <w:rFonts w:hint="eastAsia"/>
          <w:sz w:val="28"/>
          <w:szCs w:val="28"/>
        </w:rPr>
      </w:pPr>
      <w:r w:rsidRPr="00F64E77">
        <w:rPr>
          <w:rFonts w:hint="eastAsia"/>
          <w:sz w:val="28"/>
          <w:szCs w:val="28"/>
        </w:rPr>
        <w:t>当前</w:t>
      </w:r>
      <w:r w:rsidR="00FD19AC">
        <w:rPr>
          <w:rFonts w:hint="eastAsia"/>
          <w:sz w:val="28"/>
          <w:szCs w:val="28"/>
        </w:rPr>
        <w:t>，国</w:t>
      </w:r>
      <w:r w:rsidRPr="00F64E77">
        <w:rPr>
          <w:rFonts w:hint="eastAsia"/>
          <w:sz w:val="28"/>
          <w:szCs w:val="28"/>
        </w:rPr>
        <w:t>家</w:t>
      </w:r>
      <w:r w:rsidR="00964A04">
        <w:rPr>
          <w:rFonts w:hint="eastAsia"/>
          <w:sz w:val="28"/>
          <w:szCs w:val="28"/>
        </w:rPr>
        <w:t>和</w:t>
      </w:r>
      <w:r w:rsidRPr="00F64E77">
        <w:rPr>
          <w:rFonts w:hint="eastAsia"/>
          <w:sz w:val="28"/>
          <w:szCs w:val="28"/>
        </w:rPr>
        <w:t>行业</w:t>
      </w:r>
      <w:r w:rsidR="00964A04">
        <w:rPr>
          <w:rFonts w:hint="eastAsia"/>
          <w:sz w:val="28"/>
          <w:szCs w:val="28"/>
        </w:rPr>
        <w:t>层面对于航运业</w:t>
      </w:r>
      <w:r w:rsidRPr="00F64E77">
        <w:rPr>
          <w:rFonts w:hint="eastAsia"/>
          <w:sz w:val="28"/>
          <w:szCs w:val="28"/>
        </w:rPr>
        <w:t>均已设立转型目标，并配套一</w:t>
      </w:r>
      <w:r w:rsidRPr="00F64E77">
        <w:rPr>
          <w:rFonts w:hint="eastAsia"/>
          <w:sz w:val="28"/>
          <w:szCs w:val="28"/>
        </w:rPr>
        <w:lastRenderedPageBreak/>
        <w:t>系列政策与措施。</w:t>
      </w:r>
      <w:r w:rsidR="00CC5BF5" w:rsidRPr="00F64E77">
        <w:rPr>
          <w:sz w:val="28"/>
          <w:szCs w:val="28"/>
        </w:rPr>
        <w:t>建议我国航运企业</w:t>
      </w:r>
      <w:r w:rsidRPr="00F64E77">
        <w:rPr>
          <w:rFonts w:hint="eastAsia"/>
          <w:sz w:val="28"/>
          <w:szCs w:val="28"/>
        </w:rPr>
        <w:t>综合考虑国内</w:t>
      </w:r>
      <w:r w:rsidR="006C2817">
        <w:rPr>
          <w:rFonts w:hint="eastAsia"/>
          <w:sz w:val="28"/>
          <w:szCs w:val="28"/>
        </w:rPr>
        <w:t>、</w:t>
      </w:r>
      <w:r w:rsidRPr="00F64E77">
        <w:rPr>
          <w:rFonts w:hint="eastAsia"/>
          <w:sz w:val="28"/>
          <w:szCs w:val="28"/>
        </w:rPr>
        <w:t>国际环境，尽快</w:t>
      </w:r>
      <w:r w:rsidR="0057798D">
        <w:rPr>
          <w:rFonts w:hint="eastAsia"/>
          <w:sz w:val="28"/>
          <w:szCs w:val="28"/>
        </w:rPr>
        <w:t>编制和发布企业层面的</w:t>
      </w:r>
      <w:r w:rsidR="002D534E">
        <w:rPr>
          <w:rFonts w:hint="eastAsia"/>
          <w:sz w:val="28"/>
          <w:szCs w:val="28"/>
        </w:rPr>
        <w:t>碳中和规划，</w:t>
      </w:r>
      <w:r w:rsidRPr="00F64E77">
        <w:rPr>
          <w:rFonts w:hint="eastAsia"/>
          <w:sz w:val="28"/>
          <w:szCs w:val="28"/>
        </w:rPr>
        <w:t>明确</w:t>
      </w:r>
      <w:r w:rsidR="0057798D">
        <w:rPr>
          <w:rFonts w:hint="eastAsia"/>
          <w:sz w:val="28"/>
          <w:szCs w:val="28"/>
        </w:rPr>
        <w:t>短期、中期、长期的减碳</w:t>
      </w:r>
      <w:r w:rsidR="00F674E0" w:rsidRPr="00F64E77">
        <w:rPr>
          <w:rFonts w:hint="eastAsia"/>
          <w:sz w:val="28"/>
          <w:szCs w:val="28"/>
        </w:rPr>
        <w:t>目标</w:t>
      </w:r>
      <w:r w:rsidR="0057798D">
        <w:rPr>
          <w:rFonts w:hint="eastAsia"/>
          <w:sz w:val="28"/>
          <w:szCs w:val="28"/>
        </w:rPr>
        <w:t>；</w:t>
      </w:r>
      <w:r w:rsidR="001745F2">
        <w:rPr>
          <w:rFonts w:hint="eastAsia"/>
          <w:sz w:val="28"/>
          <w:szCs w:val="28"/>
        </w:rPr>
        <w:t>明确</w:t>
      </w:r>
      <w:r w:rsidR="0057798D">
        <w:rPr>
          <w:rFonts w:hint="eastAsia"/>
          <w:sz w:val="28"/>
          <w:szCs w:val="28"/>
        </w:rPr>
        <w:t>技术路径的选项和投资计划</w:t>
      </w:r>
      <w:r w:rsidR="00F674E0" w:rsidRPr="00F64E77">
        <w:rPr>
          <w:rFonts w:hint="eastAsia"/>
          <w:sz w:val="28"/>
          <w:szCs w:val="28"/>
        </w:rPr>
        <w:t>；</w:t>
      </w:r>
      <w:r w:rsidR="00CC5BF5" w:rsidRPr="00F64E77">
        <w:rPr>
          <w:sz w:val="28"/>
          <w:szCs w:val="28"/>
        </w:rPr>
        <w:t>科学测算范围1、2、3排放等</w:t>
      </w:r>
      <w:r w:rsidR="00F674E0" w:rsidRPr="00F64E77">
        <w:rPr>
          <w:rFonts w:hint="eastAsia"/>
          <w:sz w:val="28"/>
          <w:szCs w:val="28"/>
        </w:rPr>
        <w:t>数据</w:t>
      </w:r>
      <w:r w:rsidR="0057798D">
        <w:rPr>
          <w:rFonts w:hint="eastAsia"/>
          <w:sz w:val="28"/>
          <w:szCs w:val="28"/>
        </w:rPr>
        <w:t>；</w:t>
      </w:r>
      <w:r w:rsidR="001745F2">
        <w:rPr>
          <w:rFonts w:hint="eastAsia"/>
          <w:sz w:val="28"/>
          <w:szCs w:val="28"/>
        </w:rPr>
        <w:t>明确</w:t>
      </w:r>
      <w:r w:rsidR="0057798D">
        <w:rPr>
          <w:rFonts w:hint="eastAsia"/>
          <w:sz w:val="28"/>
          <w:szCs w:val="28"/>
        </w:rPr>
        <w:t>落实转型计划的公司治理安排。</w:t>
      </w:r>
    </w:p>
    <w:p w14:paraId="217B8EFB" w14:textId="04803C1C" w:rsidR="00AD429A" w:rsidRPr="00AD429A" w:rsidRDefault="00AD429A" w:rsidP="00AD429A">
      <w:pPr>
        <w:pStyle w:val="-05-15"/>
        <w:numPr>
          <w:ilvl w:val="0"/>
          <w:numId w:val="15"/>
        </w:numPr>
        <w:ind w:firstLineChars="0"/>
        <w:rPr>
          <w:rFonts w:hint="eastAsia"/>
          <w:b/>
          <w:bCs/>
          <w:sz w:val="28"/>
          <w:szCs w:val="28"/>
        </w:rPr>
      </w:pPr>
      <w:r w:rsidRPr="00AD429A">
        <w:rPr>
          <w:rFonts w:hint="eastAsia"/>
          <w:b/>
          <w:bCs/>
          <w:sz w:val="28"/>
          <w:szCs w:val="28"/>
        </w:rPr>
        <w:t xml:space="preserve"> 提升可持续信息披露能力</w:t>
      </w:r>
    </w:p>
    <w:p w14:paraId="0970FDB3" w14:textId="77777777" w:rsidR="00AD429A" w:rsidRDefault="0065268B" w:rsidP="00AD429A">
      <w:pPr>
        <w:ind w:firstLineChars="200" w:firstLine="560"/>
        <w:rPr>
          <w:rFonts w:hint="eastAsia"/>
          <w:sz w:val="28"/>
          <w:szCs w:val="28"/>
        </w:rPr>
      </w:pPr>
      <w:r w:rsidRPr="0065268B">
        <w:rPr>
          <w:sz w:val="28"/>
          <w:szCs w:val="28"/>
        </w:rPr>
        <w:t>随着可持续信息披露的要求不断加强，强制性披露正逐步从上市公司扩展到所有企业</w:t>
      </w:r>
      <w:r>
        <w:rPr>
          <w:rFonts w:hint="eastAsia"/>
          <w:sz w:val="28"/>
          <w:szCs w:val="28"/>
        </w:rPr>
        <w:t>，其中</w:t>
      </w:r>
      <w:r w:rsidRPr="0065268B">
        <w:rPr>
          <w:sz w:val="28"/>
          <w:szCs w:val="28"/>
        </w:rPr>
        <w:t>香港和新加坡的上市公司面临的强制披露要求尤其紧迫，预计将在2025年正式生效。</w:t>
      </w:r>
      <w:r w:rsidR="00B97760">
        <w:rPr>
          <w:rFonts w:hint="eastAsia"/>
          <w:sz w:val="28"/>
          <w:szCs w:val="28"/>
        </w:rPr>
        <w:t>此外，</w:t>
      </w:r>
      <w:r w:rsidR="0057798D">
        <w:rPr>
          <w:rFonts w:hint="eastAsia"/>
          <w:sz w:val="28"/>
          <w:szCs w:val="28"/>
        </w:rPr>
        <w:t>我国国内</w:t>
      </w:r>
      <w:r w:rsidR="00B97760" w:rsidRPr="00F64E77">
        <w:rPr>
          <w:rFonts w:hint="eastAsia"/>
          <w:sz w:val="28"/>
          <w:szCs w:val="28"/>
        </w:rPr>
        <w:t>可持续信息</w:t>
      </w:r>
      <w:r w:rsidR="00B97760">
        <w:rPr>
          <w:rFonts w:hint="eastAsia"/>
          <w:sz w:val="28"/>
          <w:szCs w:val="28"/>
        </w:rPr>
        <w:t>的</w:t>
      </w:r>
      <w:r w:rsidR="00F674E0" w:rsidRPr="00F64E77">
        <w:rPr>
          <w:rFonts w:hint="eastAsia"/>
          <w:sz w:val="28"/>
          <w:szCs w:val="28"/>
        </w:rPr>
        <w:t>披露框架也逐渐</w:t>
      </w:r>
      <w:r w:rsidR="0057798D">
        <w:rPr>
          <w:rFonts w:hint="eastAsia"/>
          <w:sz w:val="28"/>
          <w:szCs w:val="28"/>
        </w:rPr>
        <w:t>与国际标准</w:t>
      </w:r>
      <w:r w:rsidR="00F674E0" w:rsidRPr="00F64E77">
        <w:rPr>
          <w:rFonts w:hint="eastAsia"/>
          <w:sz w:val="28"/>
          <w:szCs w:val="28"/>
        </w:rPr>
        <w:t>趋同，</w:t>
      </w:r>
      <w:r w:rsidR="0057798D">
        <w:rPr>
          <w:rFonts w:hint="eastAsia"/>
          <w:sz w:val="28"/>
          <w:szCs w:val="28"/>
        </w:rPr>
        <w:t>预计不久的将来将对大型企业强制实施以ISSB准则为基础的披露要求</w:t>
      </w:r>
      <w:r w:rsidR="00F674E0" w:rsidRPr="00F64E77">
        <w:rPr>
          <w:rFonts w:hint="eastAsia"/>
          <w:sz w:val="28"/>
          <w:szCs w:val="28"/>
        </w:rPr>
        <w:t>。</w:t>
      </w:r>
      <w:r w:rsidR="00B97760">
        <w:rPr>
          <w:rFonts w:hint="eastAsia"/>
          <w:sz w:val="28"/>
          <w:szCs w:val="28"/>
        </w:rPr>
        <w:t>综上，</w:t>
      </w:r>
      <w:r w:rsidR="00CC5BF5" w:rsidRPr="00F64E77">
        <w:rPr>
          <w:rFonts w:hint="eastAsia"/>
          <w:sz w:val="28"/>
          <w:szCs w:val="28"/>
        </w:rPr>
        <w:t>建议我国航运企业，以</w:t>
      </w:r>
      <w:r w:rsidR="00CC5BF5" w:rsidRPr="00F64E77">
        <w:rPr>
          <w:sz w:val="28"/>
          <w:szCs w:val="28"/>
        </w:rPr>
        <w:t>ISSB为基础，</w:t>
      </w:r>
      <w:r w:rsidR="0057798D">
        <w:rPr>
          <w:rFonts w:hint="eastAsia"/>
          <w:sz w:val="28"/>
          <w:szCs w:val="28"/>
        </w:rPr>
        <w:t>强化碳排放数据、</w:t>
      </w:r>
      <w:r w:rsidR="00CC5BF5" w:rsidRPr="00F64E77">
        <w:rPr>
          <w:sz w:val="28"/>
          <w:szCs w:val="28"/>
        </w:rPr>
        <w:t>转型风险量化分析</w:t>
      </w:r>
      <w:r w:rsidR="0057798D">
        <w:rPr>
          <w:rFonts w:hint="eastAsia"/>
          <w:sz w:val="28"/>
          <w:szCs w:val="28"/>
        </w:rPr>
        <w:t>和转型计划的披露水平</w:t>
      </w:r>
      <w:r w:rsidR="00F674E0" w:rsidRPr="00F64E77">
        <w:rPr>
          <w:rFonts w:hint="eastAsia"/>
          <w:sz w:val="28"/>
          <w:szCs w:val="28"/>
        </w:rPr>
        <w:t>，发布独立可持续发展报告</w:t>
      </w:r>
      <w:r w:rsidR="00CC5BF5" w:rsidRPr="00F64E77">
        <w:rPr>
          <w:sz w:val="28"/>
          <w:szCs w:val="28"/>
        </w:rPr>
        <w:t>。</w:t>
      </w:r>
      <w:r w:rsidR="00AD429A">
        <w:rPr>
          <w:rFonts w:hint="eastAsia"/>
          <w:sz w:val="28"/>
          <w:szCs w:val="28"/>
        </w:rPr>
        <w:t>此外，应</w:t>
      </w:r>
      <w:r w:rsidR="00AD429A" w:rsidRPr="00F64E77">
        <w:rPr>
          <w:rFonts w:hint="eastAsia"/>
          <w:sz w:val="28"/>
          <w:szCs w:val="28"/>
        </w:rPr>
        <w:t>加强碳排放数据治理，清晰展现货物碳足迹，为绿色航运服务匹配减排数据的第三方认证。</w:t>
      </w:r>
    </w:p>
    <w:p w14:paraId="547A49B8" w14:textId="6D837DAC" w:rsidR="001616C1" w:rsidRPr="00AD429A" w:rsidRDefault="00AD429A" w:rsidP="00AD429A">
      <w:pPr>
        <w:rPr>
          <w:rFonts w:hint="eastAsia"/>
          <w:b/>
          <w:bCs/>
          <w:sz w:val="28"/>
          <w:szCs w:val="28"/>
        </w:rPr>
      </w:pPr>
      <w:r w:rsidRPr="00AD429A">
        <w:rPr>
          <w:rFonts w:hint="eastAsia"/>
          <w:b/>
          <w:bCs/>
          <w:sz w:val="28"/>
          <w:szCs w:val="28"/>
        </w:rPr>
        <w:t>（三）</w:t>
      </w:r>
      <w:r w:rsidR="001616C1" w:rsidRPr="00AD429A">
        <w:rPr>
          <w:rFonts w:asciiTheme="majorHAnsi" w:eastAsiaTheme="majorHAnsi" w:hAnsiTheme="majorHAnsi" w:hint="eastAsia"/>
          <w:b/>
          <w:bCs/>
          <w:sz w:val="28"/>
          <w:szCs w:val="28"/>
        </w:rPr>
        <w:t>深入技术研发，用好转型金融</w:t>
      </w:r>
    </w:p>
    <w:p w14:paraId="200A4EDA" w14:textId="441D1562" w:rsidR="009936C0" w:rsidRPr="00F64E77" w:rsidRDefault="004414B5" w:rsidP="009936C0">
      <w:pPr>
        <w:ind w:firstLineChars="200" w:firstLine="560"/>
        <w:rPr>
          <w:rFonts w:hint="eastAsia"/>
          <w:sz w:val="28"/>
          <w:szCs w:val="28"/>
        </w:rPr>
      </w:pPr>
      <w:r w:rsidRPr="00F64E77">
        <w:rPr>
          <w:rFonts w:hint="eastAsia"/>
          <w:sz w:val="28"/>
          <w:szCs w:val="28"/>
        </w:rPr>
        <w:t>船用清洁燃料</w:t>
      </w:r>
      <w:r w:rsidR="00492C57">
        <w:rPr>
          <w:rFonts w:hint="eastAsia"/>
          <w:sz w:val="28"/>
          <w:szCs w:val="28"/>
        </w:rPr>
        <w:t>研发应用</w:t>
      </w:r>
      <w:r w:rsidRPr="00F64E77">
        <w:rPr>
          <w:rFonts w:hint="eastAsia"/>
          <w:sz w:val="28"/>
          <w:szCs w:val="28"/>
        </w:rPr>
        <w:t>和船舶</w:t>
      </w:r>
      <w:r w:rsidR="00EC0FF6">
        <w:rPr>
          <w:rFonts w:hint="eastAsia"/>
          <w:sz w:val="28"/>
          <w:szCs w:val="28"/>
        </w:rPr>
        <w:t>设计</w:t>
      </w:r>
      <w:r w:rsidRPr="00F64E77">
        <w:rPr>
          <w:rFonts w:hint="eastAsia"/>
          <w:sz w:val="28"/>
          <w:szCs w:val="28"/>
        </w:rPr>
        <w:t>改造是当前航运业转型的关键所在。</w:t>
      </w:r>
      <w:r w:rsidR="001616C1" w:rsidRPr="00F64E77">
        <w:rPr>
          <w:rFonts w:hint="eastAsia"/>
          <w:sz w:val="28"/>
          <w:szCs w:val="28"/>
        </w:rPr>
        <w:t>建议我国航运企业加强清洁船舶燃料</w:t>
      </w:r>
      <w:r w:rsidR="00C56D10">
        <w:rPr>
          <w:rFonts w:hint="eastAsia"/>
          <w:sz w:val="28"/>
          <w:szCs w:val="28"/>
        </w:rPr>
        <w:t>研发应用</w:t>
      </w:r>
      <w:r w:rsidR="001616C1" w:rsidRPr="00F64E77">
        <w:rPr>
          <w:rFonts w:hint="eastAsia"/>
          <w:sz w:val="28"/>
          <w:szCs w:val="28"/>
        </w:rPr>
        <w:t>、优化船舶</w:t>
      </w:r>
      <w:r w:rsidR="00EC0FF6">
        <w:rPr>
          <w:rFonts w:hint="eastAsia"/>
          <w:sz w:val="28"/>
          <w:szCs w:val="28"/>
        </w:rPr>
        <w:t>设计</w:t>
      </w:r>
      <w:r w:rsidR="001616C1" w:rsidRPr="00F64E77">
        <w:rPr>
          <w:rFonts w:hint="eastAsia"/>
          <w:sz w:val="28"/>
          <w:szCs w:val="28"/>
        </w:rPr>
        <w:t>以及深化数字转型相关的研究与试验</w:t>
      </w:r>
      <w:r w:rsidR="00F91EBB" w:rsidRPr="00F64E77">
        <w:rPr>
          <w:rFonts w:hint="eastAsia"/>
          <w:sz w:val="28"/>
          <w:szCs w:val="28"/>
        </w:rPr>
        <w:t>；</w:t>
      </w:r>
      <w:r w:rsidR="00EC0FF6">
        <w:rPr>
          <w:rFonts w:hint="eastAsia"/>
          <w:sz w:val="28"/>
          <w:szCs w:val="28"/>
        </w:rPr>
        <w:t>积极</w:t>
      </w:r>
      <w:r w:rsidR="001616C1" w:rsidRPr="00F64E77">
        <w:rPr>
          <w:rFonts w:hint="eastAsia"/>
          <w:sz w:val="28"/>
          <w:szCs w:val="28"/>
        </w:rPr>
        <w:t>与科研院所合作，推动产学研协同发展，促进</w:t>
      </w:r>
      <w:r w:rsidR="00EC0FF6">
        <w:rPr>
          <w:rFonts w:hint="eastAsia"/>
          <w:sz w:val="28"/>
          <w:szCs w:val="28"/>
        </w:rPr>
        <w:t>科技成果转化</w:t>
      </w:r>
      <w:r w:rsidR="00F674E0" w:rsidRPr="00F64E77">
        <w:rPr>
          <w:rFonts w:hint="eastAsia"/>
          <w:sz w:val="28"/>
          <w:szCs w:val="28"/>
        </w:rPr>
        <w:t>；</w:t>
      </w:r>
      <w:r w:rsidR="001616C1" w:rsidRPr="00F64E77">
        <w:rPr>
          <w:rFonts w:hint="eastAsia"/>
          <w:sz w:val="28"/>
          <w:szCs w:val="28"/>
        </w:rPr>
        <w:t>根据航线自然条件、经济测算，匹配合适的船型、燃料，有步骤地统筹安排船队低碳转型</w:t>
      </w:r>
      <w:r w:rsidR="009936C0" w:rsidRPr="00F64E77">
        <w:rPr>
          <w:rFonts w:hint="eastAsia"/>
          <w:sz w:val="28"/>
          <w:szCs w:val="28"/>
        </w:rPr>
        <w:t>。</w:t>
      </w:r>
    </w:p>
    <w:p w14:paraId="03B9EC92" w14:textId="18C53649" w:rsidR="009936C0" w:rsidRPr="00F64E77" w:rsidRDefault="002258EC" w:rsidP="009936C0">
      <w:pPr>
        <w:ind w:firstLineChars="200" w:firstLine="560"/>
        <w:rPr>
          <w:rFonts w:hint="eastAsia"/>
          <w:sz w:val="28"/>
          <w:szCs w:val="28"/>
        </w:rPr>
      </w:pPr>
      <w:r w:rsidRPr="00F64E77">
        <w:rPr>
          <w:rFonts w:hint="eastAsia"/>
          <w:sz w:val="28"/>
          <w:szCs w:val="28"/>
        </w:rPr>
        <w:t>在资金配置方面，</w:t>
      </w:r>
      <w:r w:rsidR="009936C0" w:rsidRPr="00F64E77">
        <w:rPr>
          <w:rFonts w:hint="eastAsia"/>
          <w:sz w:val="28"/>
          <w:szCs w:val="28"/>
        </w:rPr>
        <w:t>建议通过</w:t>
      </w:r>
      <w:r w:rsidR="000E4747" w:rsidRPr="00F64E77">
        <w:rPr>
          <w:rFonts w:hint="eastAsia"/>
          <w:sz w:val="28"/>
          <w:szCs w:val="28"/>
        </w:rPr>
        <w:t>自有或参股投资机构以</w:t>
      </w:r>
      <w:r w:rsidR="009936C0" w:rsidRPr="00F64E77">
        <w:rPr>
          <w:rFonts w:hint="eastAsia"/>
          <w:sz w:val="28"/>
          <w:szCs w:val="28"/>
        </w:rPr>
        <w:t>新设、并购等方式</w:t>
      </w:r>
      <w:r w:rsidR="008E6DA9">
        <w:rPr>
          <w:rFonts w:hint="eastAsia"/>
          <w:sz w:val="28"/>
          <w:szCs w:val="28"/>
        </w:rPr>
        <w:t>布局</w:t>
      </w:r>
      <w:r w:rsidR="000E4747" w:rsidRPr="00F64E77">
        <w:rPr>
          <w:rFonts w:hint="eastAsia"/>
          <w:sz w:val="28"/>
          <w:szCs w:val="28"/>
        </w:rPr>
        <w:t>绿色技术产业</w:t>
      </w:r>
      <w:r w:rsidR="009936C0" w:rsidRPr="00F64E77">
        <w:rPr>
          <w:rFonts w:hint="eastAsia"/>
          <w:sz w:val="28"/>
          <w:szCs w:val="28"/>
        </w:rPr>
        <w:t>，</w:t>
      </w:r>
      <w:r w:rsidR="000E4747" w:rsidRPr="00F64E77">
        <w:rPr>
          <w:rFonts w:hint="eastAsia"/>
          <w:sz w:val="28"/>
          <w:szCs w:val="28"/>
        </w:rPr>
        <w:t>有规划地</w:t>
      </w:r>
      <w:r w:rsidR="009936C0" w:rsidRPr="00F64E77">
        <w:rPr>
          <w:rFonts w:hint="eastAsia"/>
          <w:sz w:val="28"/>
          <w:szCs w:val="28"/>
        </w:rPr>
        <w:t>培育绿色低碳技术生态；充分运用</w:t>
      </w:r>
      <w:r w:rsidR="009936C0" w:rsidRPr="00F64E77">
        <w:rPr>
          <w:rFonts w:hint="eastAsia"/>
          <w:sz w:val="28"/>
          <w:szCs w:val="28"/>
        </w:rPr>
        <w:lastRenderedPageBreak/>
        <w:t>绿色转型支持政策，</w:t>
      </w:r>
      <w:r w:rsidR="000E4747" w:rsidRPr="00F64E77">
        <w:rPr>
          <w:rFonts w:hint="eastAsia"/>
          <w:sz w:val="28"/>
          <w:szCs w:val="28"/>
        </w:rPr>
        <w:t>通过</w:t>
      </w:r>
      <w:r w:rsidR="009936C0" w:rsidRPr="00F64E77">
        <w:rPr>
          <w:rFonts w:hint="eastAsia"/>
          <w:sz w:val="28"/>
          <w:szCs w:val="28"/>
        </w:rPr>
        <w:t>央行碳减排支持工具，绿色转型、可持续挂钩等信贷、债券、保险和基金等</w:t>
      </w:r>
      <w:r w:rsidR="000E4747" w:rsidRPr="00F64E77">
        <w:rPr>
          <w:rFonts w:hint="eastAsia"/>
          <w:sz w:val="28"/>
          <w:szCs w:val="28"/>
        </w:rPr>
        <w:t>产品拓宽低碳转型项目融资渠道，降低资金成本</w:t>
      </w:r>
      <w:r w:rsidR="009936C0" w:rsidRPr="00F64E77">
        <w:rPr>
          <w:rFonts w:hint="eastAsia"/>
          <w:sz w:val="28"/>
          <w:szCs w:val="28"/>
        </w:rPr>
        <w:t>；系统梳理企业碳资产，积极参与碳市场交易，助力碳金融产品的开发与利用。</w:t>
      </w:r>
    </w:p>
    <w:p w14:paraId="726B0B4E" w14:textId="1C0700C8" w:rsidR="001616C1" w:rsidRPr="00F64E77" w:rsidRDefault="00AD429A" w:rsidP="00AD429A">
      <w:pPr>
        <w:pStyle w:val="3"/>
        <w:numPr>
          <w:ilvl w:val="0"/>
          <w:numId w:val="16"/>
        </w:numPr>
        <w:spacing w:before="156" w:after="156"/>
        <w:rPr>
          <w:rFonts w:asciiTheme="majorHAnsi" w:eastAsiaTheme="majorHAnsi" w:hAnsiTheme="majorHAnsi" w:hint="eastAsia"/>
          <w:sz w:val="28"/>
          <w:szCs w:val="28"/>
        </w:rPr>
      </w:pPr>
      <w:r>
        <w:rPr>
          <w:rFonts w:asciiTheme="majorHAnsi" w:eastAsiaTheme="majorHAnsi" w:hAnsiTheme="majorHAnsi" w:hint="eastAsia"/>
          <w:sz w:val="28"/>
          <w:szCs w:val="28"/>
        </w:rPr>
        <w:t xml:space="preserve"> </w:t>
      </w:r>
      <w:r w:rsidR="00F16F39" w:rsidRPr="00F64E77">
        <w:rPr>
          <w:rFonts w:asciiTheme="majorHAnsi" w:eastAsiaTheme="majorHAnsi" w:hAnsiTheme="majorHAnsi" w:hint="eastAsia"/>
          <w:sz w:val="28"/>
          <w:szCs w:val="28"/>
        </w:rPr>
        <w:t>组建转型团队，</w:t>
      </w:r>
      <w:r>
        <w:rPr>
          <w:rFonts w:asciiTheme="majorHAnsi" w:eastAsiaTheme="majorHAnsi" w:hAnsiTheme="majorHAnsi" w:hint="eastAsia"/>
          <w:sz w:val="28"/>
          <w:szCs w:val="28"/>
        </w:rPr>
        <w:t>强化能力建设</w:t>
      </w:r>
    </w:p>
    <w:p w14:paraId="1DE4C542" w14:textId="54D808DD" w:rsidR="001616C1" w:rsidRPr="00F64E77" w:rsidRDefault="0057798D" w:rsidP="00AD429A">
      <w:pPr>
        <w:ind w:firstLineChars="200" w:firstLine="560"/>
        <w:rPr>
          <w:rFonts w:hint="eastAsia"/>
          <w:sz w:val="28"/>
          <w:szCs w:val="28"/>
        </w:rPr>
      </w:pPr>
      <w:r>
        <w:rPr>
          <w:rFonts w:hint="eastAsia"/>
          <w:sz w:val="28"/>
          <w:szCs w:val="28"/>
        </w:rPr>
        <w:t>我国的许多船运企业在碳中和规划、技术路径和ESG信息披露方面缺乏专业人员，</w:t>
      </w:r>
      <w:r w:rsidR="00AD429A">
        <w:rPr>
          <w:rFonts w:hint="eastAsia"/>
          <w:sz w:val="28"/>
          <w:szCs w:val="28"/>
        </w:rPr>
        <w:t>也</w:t>
      </w:r>
      <w:r>
        <w:rPr>
          <w:rFonts w:hint="eastAsia"/>
          <w:sz w:val="28"/>
          <w:szCs w:val="28"/>
        </w:rPr>
        <w:t>缺乏激励能力提升的</w:t>
      </w:r>
      <w:r w:rsidR="00AD429A">
        <w:rPr>
          <w:rFonts w:hint="eastAsia"/>
          <w:sz w:val="28"/>
          <w:szCs w:val="28"/>
        </w:rPr>
        <w:t>内部</w:t>
      </w:r>
      <w:r>
        <w:rPr>
          <w:rFonts w:hint="eastAsia"/>
          <w:sz w:val="28"/>
          <w:szCs w:val="28"/>
        </w:rPr>
        <w:t>制度安排。</w:t>
      </w:r>
      <w:r w:rsidR="001616C1" w:rsidRPr="00F64E77">
        <w:rPr>
          <w:rFonts w:hint="eastAsia"/>
          <w:sz w:val="28"/>
          <w:szCs w:val="28"/>
        </w:rPr>
        <w:t>建议</w:t>
      </w:r>
      <w:r>
        <w:rPr>
          <w:rFonts w:hint="eastAsia"/>
          <w:sz w:val="28"/>
          <w:szCs w:val="28"/>
        </w:rPr>
        <w:t>我国船运企业</w:t>
      </w:r>
      <w:r w:rsidR="001616C1" w:rsidRPr="00F64E77">
        <w:rPr>
          <w:rFonts w:hint="eastAsia"/>
          <w:sz w:val="28"/>
          <w:szCs w:val="28"/>
        </w:rPr>
        <w:t>在治理结构上，成立专门的委员会、部门或团队来</w:t>
      </w:r>
      <w:r w:rsidR="00EC0FF6">
        <w:rPr>
          <w:rFonts w:hint="eastAsia"/>
          <w:sz w:val="28"/>
          <w:szCs w:val="28"/>
        </w:rPr>
        <w:t>推动</w:t>
      </w:r>
      <w:r w:rsidR="001616C1" w:rsidRPr="00F64E77">
        <w:rPr>
          <w:rFonts w:hint="eastAsia"/>
          <w:sz w:val="28"/>
          <w:szCs w:val="28"/>
        </w:rPr>
        <w:t>企业低碳转型；将转型目标充分分解至各业务板块，设计符合实际情况的年度转型指标；在考核时，设计合理的激励机制，</w:t>
      </w:r>
      <w:r w:rsidR="00AD429A">
        <w:rPr>
          <w:rFonts w:hint="eastAsia"/>
          <w:sz w:val="28"/>
          <w:szCs w:val="28"/>
        </w:rPr>
        <w:t>将减碳绩效</w:t>
      </w:r>
      <w:r w:rsidR="001616C1" w:rsidRPr="00F64E77">
        <w:rPr>
          <w:rFonts w:hint="eastAsia"/>
          <w:sz w:val="28"/>
          <w:szCs w:val="28"/>
        </w:rPr>
        <w:t>与管理层、相关团队员工绩效挂钩；</w:t>
      </w:r>
      <w:r w:rsidR="00AD429A">
        <w:rPr>
          <w:rFonts w:hint="eastAsia"/>
          <w:sz w:val="28"/>
          <w:szCs w:val="28"/>
        </w:rPr>
        <w:t>编制和</w:t>
      </w:r>
      <w:r w:rsidR="001616C1" w:rsidRPr="00F64E77">
        <w:rPr>
          <w:rFonts w:hint="eastAsia"/>
          <w:sz w:val="28"/>
          <w:szCs w:val="28"/>
        </w:rPr>
        <w:t>落实</w:t>
      </w:r>
      <w:r w:rsidR="00AD429A">
        <w:rPr>
          <w:rFonts w:hint="eastAsia"/>
          <w:sz w:val="28"/>
          <w:szCs w:val="28"/>
        </w:rPr>
        <w:t>“低碳</w:t>
      </w:r>
      <w:r w:rsidR="001616C1" w:rsidRPr="00F64E77">
        <w:rPr>
          <w:rFonts w:hint="eastAsia"/>
          <w:sz w:val="28"/>
          <w:szCs w:val="28"/>
        </w:rPr>
        <w:t>供应商</w:t>
      </w:r>
      <w:r w:rsidR="00AD429A">
        <w:rPr>
          <w:rFonts w:hint="eastAsia"/>
          <w:sz w:val="28"/>
          <w:szCs w:val="28"/>
        </w:rPr>
        <w:t>”</w:t>
      </w:r>
      <w:r w:rsidR="001616C1" w:rsidRPr="00F64E77">
        <w:rPr>
          <w:rFonts w:hint="eastAsia"/>
          <w:sz w:val="28"/>
          <w:szCs w:val="28"/>
        </w:rPr>
        <w:t>管理要求，促进上下游产业链减排。</w:t>
      </w:r>
    </w:p>
    <w:p w14:paraId="0F9DAC05" w14:textId="233B6F47" w:rsidR="001616C1" w:rsidRPr="00F64E77" w:rsidRDefault="009936C0" w:rsidP="00AD429A">
      <w:pPr>
        <w:pStyle w:val="3"/>
        <w:numPr>
          <w:ilvl w:val="0"/>
          <w:numId w:val="16"/>
        </w:numPr>
        <w:spacing w:before="156" w:after="156"/>
        <w:rPr>
          <w:rFonts w:asciiTheme="majorHAnsi" w:eastAsiaTheme="majorHAnsi" w:hAnsiTheme="majorHAnsi" w:hint="eastAsia"/>
          <w:sz w:val="28"/>
          <w:szCs w:val="28"/>
        </w:rPr>
      </w:pPr>
      <w:r w:rsidRPr="00F64E77">
        <w:rPr>
          <w:rFonts w:asciiTheme="majorHAnsi" w:eastAsiaTheme="majorHAnsi" w:hAnsiTheme="majorHAnsi" w:hint="eastAsia"/>
          <w:sz w:val="28"/>
          <w:szCs w:val="28"/>
        </w:rPr>
        <w:t>强化政策研究</w:t>
      </w:r>
      <w:r w:rsidR="001616C1" w:rsidRPr="00F64E77">
        <w:rPr>
          <w:rFonts w:asciiTheme="majorHAnsi" w:eastAsiaTheme="majorHAnsi" w:hAnsiTheme="majorHAnsi" w:hint="eastAsia"/>
          <w:sz w:val="28"/>
          <w:szCs w:val="28"/>
        </w:rPr>
        <w:t>，</w:t>
      </w:r>
      <w:r w:rsidRPr="00F64E77">
        <w:rPr>
          <w:rFonts w:asciiTheme="majorHAnsi" w:eastAsiaTheme="majorHAnsi" w:hAnsiTheme="majorHAnsi" w:hint="eastAsia"/>
          <w:sz w:val="28"/>
          <w:szCs w:val="28"/>
        </w:rPr>
        <w:t>参与规则制定</w:t>
      </w:r>
    </w:p>
    <w:p w14:paraId="64BEA0FD" w14:textId="03F11870" w:rsidR="00CC5BF5" w:rsidRDefault="00F16F39" w:rsidP="00E75291">
      <w:pPr>
        <w:pStyle w:val="-05-15"/>
        <w:ind w:firstLine="560"/>
        <w:rPr>
          <w:rFonts w:hint="eastAsia"/>
          <w:sz w:val="28"/>
          <w:szCs w:val="28"/>
        </w:rPr>
      </w:pPr>
      <w:r w:rsidRPr="00F64E77">
        <w:rPr>
          <w:rFonts w:hint="eastAsia"/>
          <w:sz w:val="28"/>
          <w:szCs w:val="28"/>
        </w:rPr>
        <w:t>建议我国航运企业，强化</w:t>
      </w:r>
      <w:r w:rsidR="009936C0" w:rsidRPr="00F64E77">
        <w:rPr>
          <w:rFonts w:hint="eastAsia"/>
          <w:sz w:val="28"/>
          <w:szCs w:val="28"/>
        </w:rPr>
        <w:t>国际国内</w:t>
      </w:r>
      <w:r w:rsidRPr="00F64E77">
        <w:rPr>
          <w:rFonts w:hint="eastAsia"/>
          <w:sz w:val="28"/>
          <w:szCs w:val="28"/>
        </w:rPr>
        <w:t>气候治理与海事相关政策的研究能力，积极参与行业标准、政策的制定；</w:t>
      </w:r>
      <w:r w:rsidR="00F36B3A" w:rsidRPr="00F64E77">
        <w:rPr>
          <w:rFonts w:hint="eastAsia"/>
          <w:sz w:val="28"/>
          <w:szCs w:val="28"/>
        </w:rPr>
        <w:t>强化专业领域前沿研究，加入相关企业联盟或</w:t>
      </w:r>
      <w:r w:rsidR="0081350F">
        <w:rPr>
          <w:rFonts w:hint="eastAsia"/>
          <w:sz w:val="28"/>
          <w:szCs w:val="28"/>
        </w:rPr>
        <w:t>倡议</w:t>
      </w:r>
      <w:r w:rsidR="00F36B3A" w:rsidRPr="00F64E77">
        <w:rPr>
          <w:rFonts w:hint="eastAsia"/>
          <w:sz w:val="28"/>
          <w:szCs w:val="28"/>
        </w:rPr>
        <w:t>；</w:t>
      </w:r>
      <w:r w:rsidRPr="00F64E77">
        <w:rPr>
          <w:rFonts w:hint="eastAsia"/>
          <w:sz w:val="28"/>
          <w:szCs w:val="28"/>
        </w:rPr>
        <w:t>增进同业交流合作，在技术、经验等方面充分互利互惠，共同推动行业的绿色低碳转型。</w:t>
      </w:r>
    </w:p>
    <w:p w14:paraId="53432540" w14:textId="2AB012BA" w:rsidR="00AF7B77" w:rsidRDefault="00AF7B77" w:rsidP="00AF7B77">
      <w:pPr>
        <w:pStyle w:val="2"/>
        <w:numPr>
          <w:ilvl w:val="0"/>
          <w:numId w:val="2"/>
        </w:numPr>
        <w:spacing w:before="156" w:after="156"/>
        <w:rPr>
          <w:rFonts w:asciiTheme="minorHAnsi" w:eastAsiaTheme="minorHAnsi" w:hAnsiTheme="minorHAnsi" w:hint="eastAsia"/>
          <w:sz w:val="28"/>
          <w:szCs w:val="28"/>
        </w:rPr>
      </w:pPr>
      <w:r w:rsidRPr="00AF7B77">
        <w:rPr>
          <w:rFonts w:asciiTheme="minorHAnsi" w:eastAsiaTheme="minorHAnsi" w:hAnsiTheme="minorHAnsi" w:hint="eastAsia"/>
          <w:sz w:val="28"/>
          <w:szCs w:val="28"/>
        </w:rPr>
        <w:t>对相关管理部门</w:t>
      </w:r>
      <w:r w:rsidR="00954333">
        <w:rPr>
          <w:rFonts w:asciiTheme="minorHAnsi" w:eastAsiaTheme="minorHAnsi" w:hAnsiTheme="minorHAnsi" w:hint="eastAsia"/>
          <w:sz w:val="28"/>
          <w:szCs w:val="28"/>
        </w:rPr>
        <w:t>的</w:t>
      </w:r>
      <w:r w:rsidRPr="00AF7B77">
        <w:rPr>
          <w:rFonts w:asciiTheme="minorHAnsi" w:eastAsiaTheme="minorHAnsi" w:hAnsiTheme="minorHAnsi" w:hint="eastAsia"/>
          <w:sz w:val="28"/>
          <w:szCs w:val="28"/>
        </w:rPr>
        <w:t>建议</w:t>
      </w:r>
    </w:p>
    <w:p w14:paraId="7FF00ED1" w14:textId="2E735FEB" w:rsidR="00676318" w:rsidRDefault="00D22771" w:rsidP="00AF7B77">
      <w:pPr>
        <w:spacing w:beforeLines="50" w:before="156" w:afterLines="50" w:after="156" w:line="360" w:lineRule="auto"/>
        <w:ind w:firstLineChars="200" w:firstLine="560"/>
        <w:rPr>
          <w:rFonts w:hint="eastAsia"/>
          <w:sz w:val="28"/>
          <w:szCs w:val="28"/>
        </w:rPr>
      </w:pPr>
      <w:r>
        <w:rPr>
          <w:rFonts w:hint="eastAsia"/>
          <w:sz w:val="28"/>
          <w:szCs w:val="28"/>
        </w:rPr>
        <w:t>当前</w:t>
      </w:r>
      <w:r w:rsidR="004C4492">
        <w:rPr>
          <w:rFonts w:hint="eastAsia"/>
          <w:sz w:val="28"/>
          <w:szCs w:val="28"/>
        </w:rPr>
        <w:t>，虽然我国已经宣布了对碳达峰碳中和的目标，但</w:t>
      </w:r>
      <w:r w:rsidR="00E16D5D">
        <w:rPr>
          <w:rFonts w:hint="eastAsia"/>
          <w:sz w:val="28"/>
          <w:szCs w:val="28"/>
        </w:rPr>
        <w:t>我国</w:t>
      </w:r>
      <w:r w:rsidR="004C4492">
        <w:rPr>
          <w:rFonts w:hint="eastAsia"/>
          <w:sz w:val="28"/>
          <w:szCs w:val="28"/>
        </w:rPr>
        <w:t>仍然缺乏</w:t>
      </w:r>
      <w:r w:rsidR="00676318">
        <w:rPr>
          <w:rFonts w:hint="eastAsia"/>
          <w:sz w:val="28"/>
          <w:szCs w:val="28"/>
        </w:rPr>
        <w:t>聚焦于</w:t>
      </w:r>
      <w:r>
        <w:rPr>
          <w:rFonts w:hint="eastAsia"/>
          <w:sz w:val="28"/>
          <w:szCs w:val="28"/>
        </w:rPr>
        <w:t>航运业低碳转型的</w:t>
      </w:r>
      <w:r w:rsidR="004C4492">
        <w:rPr>
          <w:rFonts w:hint="eastAsia"/>
          <w:sz w:val="28"/>
          <w:szCs w:val="28"/>
        </w:rPr>
        <w:t>系统的、具体的要求。</w:t>
      </w:r>
      <w:r w:rsidR="000C09C3">
        <w:rPr>
          <w:rFonts w:hint="eastAsia"/>
          <w:sz w:val="28"/>
          <w:szCs w:val="28"/>
        </w:rPr>
        <w:t>回顾现有政策，</w:t>
      </w:r>
      <w:r w:rsidR="00AF7B77" w:rsidRPr="00AF7B77">
        <w:rPr>
          <w:rFonts w:hint="eastAsia"/>
          <w:sz w:val="28"/>
          <w:szCs w:val="28"/>
        </w:rPr>
        <w:t>《交通强国建设纲要</w:t>
      </w:r>
      <w:r w:rsidR="00676318">
        <w:rPr>
          <w:rFonts w:hint="eastAsia"/>
          <w:sz w:val="28"/>
          <w:szCs w:val="28"/>
        </w:rPr>
        <w:t>（2</w:t>
      </w:r>
      <w:r w:rsidR="00676318">
        <w:rPr>
          <w:sz w:val="28"/>
          <w:szCs w:val="28"/>
        </w:rPr>
        <w:t>019</w:t>
      </w:r>
      <w:r w:rsidR="00676318">
        <w:rPr>
          <w:rFonts w:hint="eastAsia"/>
          <w:sz w:val="28"/>
          <w:szCs w:val="28"/>
        </w:rPr>
        <w:t>）</w:t>
      </w:r>
      <w:r w:rsidR="00AF7B77" w:rsidRPr="00AF7B77">
        <w:rPr>
          <w:rFonts w:hint="eastAsia"/>
          <w:sz w:val="28"/>
          <w:szCs w:val="28"/>
        </w:rPr>
        <w:t>》</w:t>
      </w:r>
      <w:r w:rsidR="00AF7B77">
        <w:rPr>
          <w:rFonts w:hint="eastAsia"/>
          <w:sz w:val="28"/>
          <w:szCs w:val="28"/>
        </w:rPr>
        <w:t>《</w:t>
      </w:r>
      <w:r w:rsidR="00AF7B77" w:rsidRPr="00AF7B77">
        <w:rPr>
          <w:rFonts w:hint="eastAsia"/>
          <w:sz w:val="28"/>
          <w:szCs w:val="28"/>
        </w:rPr>
        <w:t>国家综合立体交通网规划纲要</w:t>
      </w:r>
      <w:r w:rsidR="00676318">
        <w:rPr>
          <w:rFonts w:hint="eastAsia"/>
          <w:sz w:val="28"/>
          <w:szCs w:val="28"/>
        </w:rPr>
        <w:t>（2</w:t>
      </w:r>
      <w:r w:rsidR="00676318">
        <w:rPr>
          <w:sz w:val="28"/>
          <w:szCs w:val="28"/>
        </w:rPr>
        <w:t>021</w:t>
      </w:r>
      <w:r w:rsidR="00676318">
        <w:rPr>
          <w:rFonts w:hint="eastAsia"/>
          <w:sz w:val="28"/>
          <w:szCs w:val="28"/>
        </w:rPr>
        <w:t>）</w:t>
      </w:r>
      <w:r w:rsidR="00AF7B77">
        <w:rPr>
          <w:rFonts w:hint="eastAsia"/>
          <w:sz w:val="28"/>
          <w:szCs w:val="28"/>
        </w:rPr>
        <w:t>》</w:t>
      </w:r>
      <w:r w:rsidR="00AF7B77">
        <w:rPr>
          <w:rFonts w:hint="eastAsia"/>
          <w:sz w:val="28"/>
          <w:szCs w:val="28"/>
        </w:rPr>
        <w:lastRenderedPageBreak/>
        <w:t>是我国交通行业两份纲领性文件，均提出了</w:t>
      </w:r>
      <w:r w:rsidR="000C09C3">
        <w:rPr>
          <w:rFonts w:hint="eastAsia"/>
          <w:sz w:val="28"/>
          <w:szCs w:val="28"/>
        </w:rPr>
        <w:t>交通行业</w:t>
      </w:r>
      <w:r w:rsidR="00AF7B77">
        <w:rPr>
          <w:rFonts w:hint="eastAsia"/>
          <w:sz w:val="28"/>
          <w:szCs w:val="28"/>
        </w:rPr>
        <w:t>2</w:t>
      </w:r>
      <w:r w:rsidR="00AF7B77">
        <w:rPr>
          <w:sz w:val="28"/>
          <w:szCs w:val="28"/>
        </w:rPr>
        <w:t>035</w:t>
      </w:r>
      <w:r w:rsidR="000C09C3">
        <w:rPr>
          <w:rFonts w:hint="eastAsia"/>
          <w:sz w:val="28"/>
          <w:szCs w:val="28"/>
        </w:rPr>
        <w:t>年</w:t>
      </w:r>
      <w:r w:rsidR="00AF7B77">
        <w:rPr>
          <w:rFonts w:hint="eastAsia"/>
          <w:sz w:val="28"/>
          <w:szCs w:val="28"/>
        </w:rPr>
        <w:t>与2</w:t>
      </w:r>
      <w:r w:rsidR="00AF7B77">
        <w:rPr>
          <w:sz w:val="28"/>
          <w:szCs w:val="28"/>
        </w:rPr>
        <w:t>050</w:t>
      </w:r>
      <w:r w:rsidR="000C09C3">
        <w:rPr>
          <w:rFonts w:hint="eastAsia"/>
          <w:sz w:val="28"/>
          <w:szCs w:val="28"/>
        </w:rPr>
        <w:t>年</w:t>
      </w:r>
      <w:r w:rsidR="00AF7B77">
        <w:rPr>
          <w:rFonts w:hint="eastAsia"/>
          <w:sz w:val="28"/>
          <w:szCs w:val="28"/>
        </w:rPr>
        <w:t>两个阶段时点的发展目标；</w:t>
      </w:r>
      <w:r w:rsidR="00AF7B77" w:rsidRPr="00AF7B77">
        <w:rPr>
          <w:sz w:val="28"/>
          <w:szCs w:val="28"/>
        </w:rPr>
        <w:t>《绿色交通“十四五”发展规划》《关于加快经济社会发展全面绿色转型的意见》</w:t>
      </w:r>
      <w:r w:rsidR="000C09C3">
        <w:rPr>
          <w:rFonts w:hint="eastAsia"/>
          <w:sz w:val="28"/>
          <w:szCs w:val="28"/>
        </w:rPr>
        <w:t>两份政策文件则</w:t>
      </w:r>
      <w:r w:rsidR="00AF7B77">
        <w:rPr>
          <w:rFonts w:hint="eastAsia"/>
          <w:sz w:val="28"/>
          <w:szCs w:val="28"/>
        </w:rPr>
        <w:t>对</w:t>
      </w:r>
      <w:r w:rsidR="00642E7F">
        <w:rPr>
          <w:rFonts w:hint="eastAsia"/>
          <w:sz w:val="28"/>
          <w:szCs w:val="28"/>
        </w:rPr>
        <w:t>我</w:t>
      </w:r>
      <w:r w:rsidR="00642E7F" w:rsidRPr="000C09C3">
        <w:rPr>
          <w:sz w:val="28"/>
          <w:szCs w:val="28"/>
        </w:rPr>
        <w:t>国</w:t>
      </w:r>
      <w:r w:rsidR="00AF7B77">
        <w:rPr>
          <w:rFonts w:hint="eastAsia"/>
          <w:sz w:val="28"/>
          <w:szCs w:val="28"/>
        </w:rPr>
        <w:t>交通运输绿色转型提出了</w:t>
      </w:r>
      <w:r w:rsidR="004C4492">
        <w:rPr>
          <w:rFonts w:hint="eastAsia"/>
          <w:sz w:val="28"/>
          <w:szCs w:val="28"/>
        </w:rPr>
        <w:t>方向性</w:t>
      </w:r>
      <w:r w:rsidR="00AF7B77">
        <w:rPr>
          <w:rFonts w:hint="eastAsia"/>
          <w:sz w:val="28"/>
          <w:szCs w:val="28"/>
        </w:rPr>
        <w:t>意见。</w:t>
      </w:r>
      <w:r w:rsidR="000C09C3">
        <w:rPr>
          <w:rFonts w:hint="eastAsia"/>
          <w:sz w:val="28"/>
          <w:szCs w:val="28"/>
        </w:rPr>
        <w:t>此外，</w:t>
      </w:r>
      <w:r w:rsidR="00676318">
        <w:rPr>
          <w:rFonts w:hint="eastAsia"/>
          <w:sz w:val="28"/>
          <w:szCs w:val="28"/>
        </w:rPr>
        <w:t>交通运输部于</w:t>
      </w:r>
      <w:r w:rsidR="008D402A">
        <w:rPr>
          <w:rFonts w:hint="eastAsia"/>
          <w:sz w:val="28"/>
          <w:szCs w:val="28"/>
        </w:rPr>
        <w:t>2</w:t>
      </w:r>
      <w:r w:rsidR="008D402A">
        <w:rPr>
          <w:sz w:val="28"/>
          <w:szCs w:val="28"/>
        </w:rPr>
        <w:t>022</w:t>
      </w:r>
      <w:r w:rsidR="008D402A">
        <w:rPr>
          <w:rFonts w:hint="eastAsia"/>
          <w:sz w:val="28"/>
          <w:szCs w:val="28"/>
        </w:rPr>
        <w:t>年发布了《</w:t>
      </w:r>
      <w:r w:rsidR="008D402A" w:rsidRPr="008D402A">
        <w:rPr>
          <w:rFonts w:hint="eastAsia"/>
          <w:sz w:val="28"/>
          <w:szCs w:val="28"/>
        </w:rPr>
        <w:t>“十四五”交通领域科技创新规划</w:t>
      </w:r>
      <w:r w:rsidR="008D402A">
        <w:rPr>
          <w:rFonts w:hint="eastAsia"/>
          <w:sz w:val="28"/>
          <w:szCs w:val="28"/>
        </w:rPr>
        <w:t>》《</w:t>
      </w:r>
      <w:r w:rsidR="008D402A" w:rsidRPr="008D402A">
        <w:rPr>
          <w:rFonts w:hint="eastAsia"/>
          <w:sz w:val="28"/>
          <w:szCs w:val="28"/>
        </w:rPr>
        <w:t>交通领域科技创新中长期发展规划纲要（</w:t>
      </w:r>
      <w:r w:rsidR="008D402A" w:rsidRPr="008D402A">
        <w:rPr>
          <w:sz w:val="28"/>
          <w:szCs w:val="28"/>
        </w:rPr>
        <w:t>2021-2035年）</w:t>
      </w:r>
      <w:r w:rsidR="008D402A">
        <w:rPr>
          <w:rFonts w:hint="eastAsia"/>
          <w:sz w:val="28"/>
          <w:szCs w:val="28"/>
        </w:rPr>
        <w:t>》与《</w:t>
      </w:r>
      <w:r w:rsidR="008D402A" w:rsidRPr="008D402A">
        <w:rPr>
          <w:rFonts w:hint="eastAsia"/>
          <w:sz w:val="28"/>
          <w:szCs w:val="28"/>
        </w:rPr>
        <w:t>绿色交通标准体系（</w:t>
      </w:r>
      <w:r w:rsidR="008D402A" w:rsidRPr="008D402A">
        <w:rPr>
          <w:sz w:val="28"/>
          <w:szCs w:val="28"/>
        </w:rPr>
        <w:t>2022年）</w:t>
      </w:r>
      <w:r w:rsidR="008D402A">
        <w:rPr>
          <w:rFonts w:hint="eastAsia"/>
          <w:sz w:val="28"/>
          <w:szCs w:val="28"/>
        </w:rPr>
        <w:t>》</w:t>
      </w:r>
      <w:r w:rsidR="00676318">
        <w:rPr>
          <w:rFonts w:hint="eastAsia"/>
          <w:sz w:val="28"/>
          <w:szCs w:val="28"/>
        </w:rPr>
        <w:t>，2</w:t>
      </w:r>
      <w:r w:rsidR="00676318">
        <w:rPr>
          <w:sz w:val="28"/>
          <w:szCs w:val="28"/>
        </w:rPr>
        <w:t>023</w:t>
      </w:r>
      <w:r w:rsidR="00676318">
        <w:rPr>
          <w:rFonts w:hint="eastAsia"/>
          <w:sz w:val="28"/>
          <w:szCs w:val="28"/>
        </w:rPr>
        <w:t>年发布了</w:t>
      </w:r>
      <w:r w:rsidR="00676318" w:rsidRPr="008D402A">
        <w:rPr>
          <w:rFonts w:hint="eastAsia"/>
          <w:sz w:val="28"/>
          <w:szCs w:val="28"/>
        </w:rPr>
        <w:t>《加快建设交通强国五年行动计划（</w:t>
      </w:r>
      <w:r w:rsidR="00676318" w:rsidRPr="008D402A">
        <w:rPr>
          <w:sz w:val="28"/>
          <w:szCs w:val="28"/>
        </w:rPr>
        <w:t>2023</w:t>
      </w:r>
      <w:r w:rsidR="00676318">
        <w:rPr>
          <w:sz w:val="28"/>
          <w:szCs w:val="28"/>
        </w:rPr>
        <w:t>-</w:t>
      </w:r>
      <w:r w:rsidR="00676318" w:rsidRPr="008D402A">
        <w:rPr>
          <w:sz w:val="28"/>
          <w:szCs w:val="28"/>
        </w:rPr>
        <w:t>2027年）》</w:t>
      </w:r>
      <w:r w:rsidR="000C09C3">
        <w:rPr>
          <w:rFonts w:hint="eastAsia"/>
          <w:sz w:val="28"/>
          <w:szCs w:val="28"/>
        </w:rPr>
        <w:t>，进一步</w:t>
      </w:r>
      <w:r w:rsidR="000C09C3" w:rsidRPr="000C09C3">
        <w:rPr>
          <w:sz w:val="28"/>
          <w:szCs w:val="28"/>
        </w:rPr>
        <w:t>指明了</w:t>
      </w:r>
      <w:r w:rsidR="00642E7F">
        <w:rPr>
          <w:rFonts w:hint="eastAsia"/>
          <w:sz w:val="28"/>
          <w:szCs w:val="28"/>
        </w:rPr>
        <w:t>我</w:t>
      </w:r>
      <w:r w:rsidR="000C09C3" w:rsidRPr="000C09C3">
        <w:rPr>
          <w:sz w:val="28"/>
          <w:szCs w:val="28"/>
        </w:rPr>
        <w:t>国交通运输部门科技创新和绿色发展的未来方向</w:t>
      </w:r>
      <w:r w:rsidR="00676318">
        <w:rPr>
          <w:rFonts w:hint="eastAsia"/>
          <w:sz w:val="28"/>
          <w:szCs w:val="28"/>
        </w:rPr>
        <w:t>。但在这些重要文件中，航运业低碳转型相关内容散落在字里行间，难以拼凑出完整的转型行动方案。</w:t>
      </w:r>
    </w:p>
    <w:p w14:paraId="11F7E2FF" w14:textId="30FECD8E" w:rsidR="008A6063" w:rsidRPr="008A6063" w:rsidRDefault="000C09C3" w:rsidP="008A6063">
      <w:pPr>
        <w:spacing w:beforeLines="50" w:before="156" w:afterLines="50" w:after="156" w:line="360" w:lineRule="auto"/>
        <w:ind w:firstLineChars="200" w:firstLine="560"/>
        <w:rPr>
          <w:rFonts w:hint="eastAsia"/>
          <w:sz w:val="28"/>
          <w:szCs w:val="28"/>
        </w:rPr>
      </w:pPr>
      <w:r>
        <w:rPr>
          <w:rFonts w:hint="eastAsia"/>
          <w:sz w:val="28"/>
          <w:szCs w:val="28"/>
        </w:rPr>
        <w:t>其次，</w:t>
      </w:r>
      <w:r w:rsidR="008A6063" w:rsidRPr="008A6063">
        <w:rPr>
          <w:rFonts w:hint="eastAsia"/>
          <w:sz w:val="28"/>
          <w:szCs w:val="28"/>
        </w:rPr>
        <w:t>近年发布的航运业相关重要文件多数针对单一方面。</w:t>
      </w:r>
      <w:r w:rsidR="008A6063" w:rsidRPr="008A6063">
        <w:rPr>
          <w:sz w:val="28"/>
          <w:szCs w:val="28"/>
        </w:rPr>
        <w:t>2022年，海事局发布了《船舶能耗数据和碳强度管理办法》；2023年</w:t>
      </w:r>
      <w:r w:rsidR="00035A39">
        <w:rPr>
          <w:rFonts w:hint="eastAsia"/>
          <w:sz w:val="28"/>
          <w:szCs w:val="28"/>
        </w:rPr>
        <w:t>交通运输部</w:t>
      </w:r>
      <w:r w:rsidR="008A6063" w:rsidRPr="008A6063">
        <w:rPr>
          <w:sz w:val="28"/>
          <w:szCs w:val="28"/>
        </w:rPr>
        <w:t>发布</w:t>
      </w:r>
      <w:r w:rsidR="00035A39">
        <w:rPr>
          <w:rFonts w:hint="eastAsia"/>
          <w:sz w:val="28"/>
          <w:szCs w:val="28"/>
        </w:rPr>
        <w:t>了</w:t>
      </w:r>
      <w:r w:rsidR="008A6063" w:rsidRPr="008A6063">
        <w:rPr>
          <w:sz w:val="28"/>
          <w:szCs w:val="28"/>
        </w:rPr>
        <w:t>《关于加快推进现代航运服务业高质量发展的指导意见》《关于加快智慧港口和智慧航道建设的意见》和《关于示范推进国际航线集装箱船舶和邮轮靠港使用岸电行动方案（2023-2025年）》。在地方层面，《广东省绿色港口行动计划（2023-2025年）》《港口企业碳排放核算及报告规范（送审稿）》《上海海事局水上甲醇燃料加注作业安全管理办法》分别于2023年与2024年发布。</w:t>
      </w:r>
      <w:r w:rsidR="00035A39">
        <w:rPr>
          <w:rFonts w:hint="eastAsia"/>
          <w:sz w:val="28"/>
          <w:szCs w:val="28"/>
        </w:rPr>
        <w:t>以上</w:t>
      </w:r>
      <w:r w:rsidR="008A6063" w:rsidRPr="008A6063">
        <w:rPr>
          <w:sz w:val="28"/>
          <w:szCs w:val="28"/>
        </w:rPr>
        <w:t>这些文件主要围绕港</w:t>
      </w:r>
      <w:r w:rsidR="008A6063" w:rsidRPr="008A6063">
        <w:rPr>
          <w:rFonts w:hint="eastAsia"/>
          <w:sz w:val="28"/>
          <w:szCs w:val="28"/>
        </w:rPr>
        <w:t>口低碳转型措施与碳强度管理，是航运低碳转型具体环节的重要指引</w:t>
      </w:r>
      <w:r w:rsidR="00035A39">
        <w:rPr>
          <w:rFonts w:hint="eastAsia"/>
          <w:sz w:val="28"/>
          <w:szCs w:val="28"/>
        </w:rPr>
        <w:t>，但都未能给出</w:t>
      </w:r>
      <w:r w:rsidR="008A1C8D">
        <w:rPr>
          <w:rFonts w:hint="eastAsia"/>
          <w:sz w:val="28"/>
          <w:szCs w:val="28"/>
        </w:rPr>
        <w:t>我国</w:t>
      </w:r>
      <w:r w:rsidR="00035A39" w:rsidRPr="008A6063">
        <w:rPr>
          <w:rFonts w:hint="eastAsia"/>
          <w:sz w:val="28"/>
          <w:szCs w:val="28"/>
        </w:rPr>
        <w:t>航运业整体的低碳转型方案</w:t>
      </w:r>
      <w:r w:rsidR="008A6063" w:rsidRPr="008A6063">
        <w:rPr>
          <w:rFonts w:hint="eastAsia"/>
          <w:sz w:val="28"/>
          <w:szCs w:val="28"/>
        </w:rPr>
        <w:t>。</w:t>
      </w:r>
    </w:p>
    <w:p w14:paraId="1D8D7B9A" w14:textId="35443371" w:rsidR="00676318" w:rsidRDefault="00035A39" w:rsidP="008A6063">
      <w:pPr>
        <w:spacing w:beforeLines="50" w:before="156" w:afterLines="50" w:after="156" w:line="360" w:lineRule="auto"/>
        <w:ind w:firstLineChars="200" w:firstLine="560"/>
        <w:rPr>
          <w:rFonts w:hint="eastAsia"/>
          <w:sz w:val="28"/>
          <w:szCs w:val="28"/>
        </w:rPr>
      </w:pPr>
      <w:r>
        <w:rPr>
          <w:rFonts w:hint="eastAsia"/>
          <w:sz w:val="28"/>
          <w:szCs w:val="28"/>
        </w:rPr>
        <w:t>综上，</w:t>
      </w:r>
      <w:r w:rsidR="004C4492">
        <w:rPr>
          <w:rFonts w:hint="eastAsia"/>
          <w:sz w:val="28"/>
          <w:szCs w:val="28"/>
        </w:rPr>
        <w:t>有关</w:t>
      </w:r>
      <w:r w:rsidR="008A6063" w:rsidRPr="008A6063">
        <w:rPr>
          <w:rFonts w:hint="eastAsia"/>
          <w:sz w:val="28"/>
          <w:szCs w:val="28"/>
        </w:rPr>
        <w:t>部门</w:t>
      </w:r>
      <w:r w:rsidR="004C4492">
        <w:rPr>
          <w:rFonts w:hint="eastAsia"/>
          <w:sz w:val="28"/>
          <w:szCs w:val="28"/>
        </w:rPr>
        <w:t>应</w:t>
      </w:r>
      <w:r w:rsidR="008A6063" w:rsidRPr="008A6063">
        <w:rPr>
          <w:rFonts w:hint="eastAsia"/>
          <w:sz w:val="28"/>
          <w:szCs w:val="28"/>
        </w:rPr>
        <w:t>制定针对航运业整体的低碳转型方案，综合考虑国内国际减排要求差异，按照内河、沿海、远洋运输三类有区别地</w:t>
      </w:r>
      <w:r w:rsidR="004902CE">
        <w:rPr>
          <w:rFonts w:hint="eastAsia"/>
          <w:sz w:val="28"/>
          <w:szCs w:val="28"/>
        </w:rPr>
        <w:lastRenderedPageBreak/>
        <w:t>探索</w:t>
      </w:r>
      <w:r w:rsidR="008A6063" w:rsidRPr="008A6063">
        <w:rPr>
          <w:rFonts w:hint="eastAsia"/>
          <w:sz w:val="28"/>
          <w:szCs w:val="28"/>
        </w:rPr>
        <w:t>设定减排指标与时间表。建议</w:t>
      </w:r>
      <w:r w:rsidR="004C4492">
        <w:rPr>
          <w:rFonts w:hint="eastAsia"/>
          <w:sz w:val="28"/>
          <w:szCs w:val="28"/>
        </w:rPr>
        <w:t>交通运输部</w:t>
      </w:r>
      <w:r w:rsidR="008A6063" w:rsidRPr="008A6063">
        <w:rPr>
          <w:rFonts w:hint="eastAsia"/>
          <w:sz w:val="28"/>
          <w:szCs w:val="28"/>
        </w:rPr>
        <w:t>联合科技部、发改委等部门，深入探索船用新能源、配套船舶设计、船队迭代更新、提升铁水联运等</w:t>
      </w:r>
      <w:r w:rsidR="004902CE">
        <w:rPr>
          <w:rFonts w:hint="eastAsia"/>
          <w:sz w:val="28"/>
          <w:szCs w:val="28"/>
        </w:rPr>
        <w:t>船运业减排路径的</w:t>
      </w:r>
      <w:r w:rsidR="008A6063" w:rsidRPr="008A6063">
        <w:rPr>
          <w:rFonts w:hint="eastAsia"/>
          <w:sz w:val="28"/>
          <w:szCs w:val="28"/>
        </w:rPr>
        <w:t>长期方案</w:t>
      </w:r>
      <w:r w:rsidR="004902CE">
        <w:rPr>
          <w:rFonts w:hint="eastAsia"/>
          <w:sz w:val="28"/>
          <w:szCs w:val="28"/>
        </w:rPr>
        <w:t>与</w:t>
      </w:r>
      <w:r w:rsidR="004902CE" w:rsidRPr="008A6063">
        <w:rPr>
          <w:rFonts w:hint="eastAsia"/>
          <w:sz w:val="28"/>
          <w:szCs w:val="28"/>
        </w:rPr>
        <w:t>实施步骤</w:t>
      </w:r>
      <w:r w:rsidR="008A6063" w:rsidRPr="008A6063">
        <w:rPr>
          <w:rFonts w:hint="eastAsia"/>
          <w:sz w:val="28"/>
          <w:szCs w:val="28"/>
        </w:rPr>
        <w:t>；建议与电网、发电企业等进一步推进岸电覆盖比例，提升绿电使用率，畅通绿电交易</w:t>
      </w:r>
      <w:r w:rsidR="004C4492">
        <w:rPr>
          <w:rFonts w:hint="eastAsia"/>
          <w:sz w:val="28"/>
          <w:szCs w:val="28"/>
        </w:rPr>
        <w:t>。</w:t>
      </w:r>
      <w:r w:rsidR="008A6063" w:rsidRPr="008A6063">
        <w:rPr>
          <w:rFonts w:hint="eastAsia"/>
          <w:sz w:val="28"/>
          <w:szCs w:val="28"/>
        </w:rPr>
        <w:t>建议央行、国家金融监管总局、证监会等</w:t>
      </w:r>
      <w:r w:rsidR="004C4492">
        <w:rPr>
          <w:rFonts w:hint="eastAsia"/>
          <w:sz w:val="28"/>
          <w:szCs w:val="28"/>
        </w:rPr>
        <w:t>金融</w:t>
      </w:r>
      <w:r w:rsidR="008A6063" w:rsidRPr="008A6063">
        <w:rPr>
          <w:rFonts w:hint="eastAsia"/>
          <w:sz w:val="28"/>
          <w:szCs w:val="28"/>
        </w:rPr>
        <w:t>管理部门</w:t>
      </w:r>
      <w:r w:rsidR="004C4492">
        <w:rPr>
          <w:rFonts w:hint="eastAsia"/>
          <w:sz w:val="28"/>
          <w:szCs w:val="28"/>
        </w:rPr>
        <w:t>积极参与</w:t>
      </w:r>
      <w:r w:rsidR="008A6063" w:rsidRPr="008A6063">
        <w:rPr>
          <w:rFonts w:hint="eastAsia"/>
          <w:sz w:val="28"/>
          <w:szCs w:val="28"/>
        </w:rPr>
        <w:t>，</w:t>
      </w:r>
      <w:r w:rsidR="004C4492">
        <w:rPr>
          <w:rFonts w:hint="eastAsia"/>
          <w:sz w:val="28"/>
          <w:szCs w:val="28"/>
        </w:rPr>
        <w:t>推动</w:t>
      </w:r>
      <w:r w:rsidR="00FA4665">
        <w:rPr>
          <w:rFonts w:hint="eastAsia"/>
          <w:sz w:val="28"/>
          <w:szCs w:val="28"/>
        </w:rPr>
        <w:t>转型金融</w:t>
      </w:r>
      <w:r w:rsidR="004C4492">
        <w:rPr>
          <w:rFonts w:hint="eastAsia"/>
          <w:sz w:val="28"/>
          <w:szCs w:val="28"/>
        </w:rPr>
        <w:t>在航运领域的落地，</w:t>
      </w:r>
      <w:r w:rsidR="00FA4665">
        <w:rPr>
          <w:rFonts w:hint="eastAsia"/>
          <w:sz w:val="28"/>
          <w:szCs w:val="28"/>
        </w:rPr>
        <w:t>加大金融</w:t>
      </w:r>
      <w:r w:rsidR="008A6063" w:rsidRPr="008A6063">
        <w:rPr>
          <w:rFonts w:hint="eastAsia"/>
          <w:sz w:val="28"/>
          <w:szCs w:val="28"/>
        </w:rPr>
        <w:t>支持航运绿色转型的力度。</w:t>
      </w:r>
    </w:p>
    <w:p w14:paraId="47656591" w14:textId="4A8088E8" w:rsidR="00555092" w:rsidRDefault="00555092" w:rsidP="004C4492">
      <w:pPr>
        <w:tabs>
          <w:tab w:val="left" w:pos="6994"/>
        </w:tabs>
        <w:spacing w:beforeLines="50" w:before="156" w:afterLines="50" w:after="156" w:line="360" w:lineRule="auto"/>
        <w:rPr>
          <w:rFonts w:hint="eastAsia"/>
          <w:sz w:val="28"/>
          <w:szCs w:val="28"/>
        </w:rPr>
      </w:pPr>
      <w:r>
        <w:rPr>
          <w:sz w:val="28"/>
          <w:szCs w:val="28"/>
        </w:rPr>
        <w:tab/>
      </w:r>
    </w:p>
    <w:p w14:paraId="5B9104BF" w14:textId="091248F4" w:rsidR="00555092" w:rsidRDefault="00555092" w:rsidP="00555092">
      <w:pPr>
        <w:spacing w:beforeLines="50" w:before="156" w:afterLines="50" w:after="156" w:line="360" w:lineRule="auto"/>
        <w:ind w:firstLineChars="200" w:firstLine="560"/>
        <w:jc w:val="right"/>
        <w:rPr>
          <w:rFonts w:hint="eastAsia"/>
          <w:sz w:val="28"/>
          <w:szCs w:val="28"/>
        </w:rPr>
      </w:pPr>
      <w:r>
        <w:rPr>
          <w:sz w:val="28"/>
          <w:szCs w:val="28"/>
        </w:rPr>
        <w:t>2024年10月</w:t>
      </w:r>
      <w:r w:rsidR="004C4492">
        <w:rPr>
          <w:rFonts w:hint="eastAsia"/>
          <w:sz w:val="28"/>
          <w:szCs w:val="28"/>
        </w:rPr>
        <w:t>22</w:t>
      </w:r>
      <w:r>
        <w:rPr>
          <w:sz w:val="28"/>
          <w:szCs w:val="28"/>
        </w:rPr>
        <w:t>日</w:t>
      </w:r>
    </w:p>
    <w:p w14:paraId="6C98EEB1" w14:textId="603DFE4B" w:rsidR="00813637" w:rsidRPr="00FA4665" w:rsidRDefault="00813637" w:rsidP="00FA4665">
      <w:pPr>
        <w:spacing w:beforeLines="50" w:before="156" w:afterLines="50" w:after="156" w:line="360" w:lineRule="auto"/>
        <w:rPr>
          <w:rFonts w:hint="eastAsia"/>
          <w:sz w:val="28"/>
          <w:szCs w:val="28"/>
        </w:rPr>
      </w:pPr>
    </w:p>
    <w:sectPr w:rsidR="00813637" w:rsidRPr="00FA46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B1B0" w14:textId="77777777" w:rsidR="00490E1F" w:rsidRDefault="00490E1F" w:rsidP="00610EBB">
      <w:pPr>
        <w:rPr>
          <w:rFonts w:hint="eastAsia"/>
        </w:rPr>
      </w:pPr>
      <w:r>
        <w:separator/>
      </w:r>
    </w:p>
  </w:endnote>
  <w:endnote w:type="continuationSeparator" w:id="0">
    <w:p w14:paraId="2FA5EA56" w14:textId="77777777" w:rsidR="00490E1F" w:rsidRDefault="00490E1F" w:rsidP="00610E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810219"/>
      <w:docPartObj>
        <w:docPartGallery w:val="Page Numbers (Bottom of Page)"/>
        <w:docPartUnique/>
      </w:docPartObj>
    </w:sdtPr>
    <w:sdtContent>
      <w:p w14:paraId="6B9206C7" w14:textId="1234025E" w:rsidR="003F18C4" w:rsidRDefault="003F18C4">
        <w:pPr>
          <w:pStyle w:val="ae"/>
          <w:jc w:val="center"/>
          <w:rPr>
            <w:rFonts w:hint="eastAsia"/>
          </w:rPr>
        </w:pPr>
        <w:r>
          <w:fldChar w:fldCharType="begin"/>
        </w:r>
        <w:r>
          <w:instrText>PAGE   \* MERGEFORMAT</w:instrText>
        </w:r>
        <w:r>
          <w:fldChar w:fldCharType="separate"/>
        </w:r>
        <w:r>
          <w:rPr>
            <w:lang w:val="zh-CN"/>
          </w:rPr>
          <w:t>2</w:t>
        </w:r>
        <w:r>
          <w:fldChar w:fldCharType="end"/>
        </w:r>
      </w:p>
    </w:sdtContent>
  </w:sdt>
  <w:p w14:paraId="129F7DEB" w14:textId="77777777" w:rsidR="003F18C4" w:rsidRDefault="003F18C4">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707B" w14:textId="77777777" w:rsidR="00490E1F" w:rsidRDefault="00490E1F" w:rsidP="00610EBB">
      <w:pPr>
        <w:rPr>
          <w:rFonts w:hint="eastAsia"/>
        </w:rPr>
      </w:pPr>
      <w:r>
        <w:separator/>
      </w:r>
    </w:p>
  </w:footnote>
  <w:footnote w:type="continuationSeparator" w:id="0">
    <w:p w14:paraId="7B758548" w14:textId="77777777" w:rsidR="00490E1F" w:rsidRDefault="00490E1F" w:rsidP="00610EBB">
      <w:pPr>
        <w:rPr>
          <w:rFonts w:hint="eastAsia"/>
        </w:rPr>
      </w:pPr>
      <w:r>
        <w:continuationSeparator/>
      </w:r>
    </w:p>
  </w:footnote>
  <w:footnote w:id="1">
    <w:p w14:paraId="51A79C6E" w14:textId="1B93089F" w:rsidR="00FA4665" w:rsidRPr="00FA4665" w:rsidRDefault="00FA4665">
      <w:pPr>
        <w:pStyle w:val="af8"/>
        <w:rPr>
          <w:rFonts w:hint="eastAsia"/>
          <w:sz w:val="21"/>
          <w:szCs w:val="21"/>
        </w:rPr>
      </w:pPr>
      <w:r>
        <w:rPr>
          <w:rStyle w:val="afa"/>
        </w:rPr>
        <w:footnoteRef/>
      </w:r>
      <w:r>
        <w:rPr>
          <w:rStyle w:val="afa"/>
        </w:rPr>
        <w:footnoteRef/>
      </w:r>
      <w:r>
        <w:t xml:space="preserve"> </w:t>
      </w:r>
      <w:r w:rsidRPr="00FA4665">
        <w:rPr>
          <w:rFonts w:hint="eastAsia"/>
          <w:sz w:val="21"/>
          <w:szCs w:val="21"/>
        </w:rPr>
        <w:t>马骏为北京绿色金融与可持续发展研究院院长</w:t>
      </w:r>
      <w:r w:rsidR="008E4D9A">
        <w:rPr>
          <w:rFonts w:hint="eastAsia"/>
          <w:sz w:val="21"/>
          <w:szCs w:val="21"/>
        </w:rPr>
        <w:t>、可持续投资能力建设联盟主席</w:t>
      </w:r>
      <w:r w:rsidRPr="00FA4665">
        <w:rPr>
          <w:rFonts w:hint="eastAsia"/>
          <w:sz w:val="21"/>
          <w:szCs w:val="21"/>
        </w:rPr>
        <w:t>；吴琼为清华大学金融学院研究人员；郭芳为北京绿色金融与可持续发展研究院研究员。</w:t>
      </w:r>
    </w:p>
    <w:p w14:paraId="20A57FB3" w14:textId="77777777" w:rsidR="00FA4665" w:rsidRDefault="00FA4665">
      <w:pPr>
        <w:pStyle w:val="af8"/>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F08"/>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14687"/>
    <w:multiLevelType w:val="hybridMultilevel"/>
    <w:tmpl w:val="E570849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C1B6F7D"/>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BA1C17"/>
    <w:multiLevelType w:val="hybridMultilevel"/>
    <w:tmpl w:val="1ABE3626"/>
    <w:lvl w:ilvl="0" w:tplc="8940CBE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133653"/>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DF541F"/>
    <w:multiLevelType w:val="hybridMultilevel"/>
    <w:tmpl w:val="D1F06CD6"/>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27A5D4E"/>
    <w:multiLevelType w:val="hybridMultilevel"/>
    <w:tmpl w:val="9E14D79E"/>
    <w:lvl w:ilvl="0" w:tplc="9CE68F4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5FA2569"/>
    <w:multiLevelType w:val="hybridMultilevel"/>
    <w:tmpl w:val="A0F0812A"/>
    <w:lvl w:ilvl="0" w:tplc="6180EFFE">
      <w:start w:val="4"/>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E4724E8"/>
    <w:multiLevelType w:val="hybridMultilevel"/>
    <w:tmpl w:val="373C5D1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68E55EC2"/>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59951AC"/>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6502BFB"/>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6C4992"/>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570304"/>
    <w:multiLevelType w:val="hybridMultilevel"/>
    <w:tmpl w:val="A348AD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E97B30"/>
    <w:multiLevelType w:val="hybridMultilevel"/>
    <w:tmpl w:val="0C0CA6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FE1A45"/>
    <w:multiLevelType w:val="hybridMultilevel"/>
    <w:tmpl w:val="9D764000"/>
    <w:lvl w:ilvl="0" w:tplc="F4864E48">
      <w:start w:val="2"/>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73954986">
    <w:abstractNumId w:val="5"/>
  </w:num>
  <w:num w:numId="2" w16cid:durableId="1255358470">
    <w:abstractNumId w:val="13"/>
  </w:num>
  <w:num w:numId="3" w16cid:durableId="284194698">
    <w:abstractNumId w:val="10"/>
  </w:num>
  <w:num w:numId="4" w16cid:durableId="1013412179">
    <w:abstractNumId w:val="0"/>
  </w:num>
  <w:num w:numId="5" w16cid:durableId="1848790067">
    <w:abstractNumId w:val="4"/>
  </w:num>
  <w:num w:numId="6" w16cid:durableId="850686826">
    <w:abstractNumId w:val="2"/>
  </w:num>
  <w:num w:numId="7" w16cid:durableId="1533571481">
    <w:abstractNumId w:val="8"/>
  </w:num>
  <w:num w:numId="8" w16cid:durableId="1319992752">
    <w:abstractNumId w:val="3"/>
  </w:num>
  <w:num w:numId="9" w16cid:durableId="1726487465">
    <w:abstractNumId w:val="9"/>
  </w:num>
  <w:num w:numId="10" w16cid:durableId="477264290">
    <w:abstractNumId w:val="12"/>
  </w:num>
  <w:num w:numId="11" w16cid:durableId="765999443">
    <w:abstractNumId w:val="11"/>
  </w:num>
  <w:num w:numId="12" w16cid:durableId="189952872">
    <w:abstractNumId w:val="14"/>
  </w:num>
  <w:num w:numId="13" w16cid:durableId="241960002">
    <w:abstractNumId w:val="1"/>
  </w:num>
  <w:num w:numId="14" w16cid:durableId="724791849">
    <w:abstractNumId w:val="6"/>
  </w:num>
  <w:num w:numId="15" w16cid:durableId="2035228186">
    <w:abstractNumId w:val="15"/>
  </w:num>
  <w:num w:numId="16" w16cid:durableId="587276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BC"/>
    <w:rsid w:val="00002074"/>
    <w:rsid w:val="00012635"/>
    <w:rsid w:val="00027506"/>
    <w:rsid w:val="00027577"/>
    <w:rsid w:val="00027C67"/>
    <w:rsid w:val="00034C76"/>
    <w:rsid w:val="00035A39"/>
    <w:rsid w:val="00036416"/>
    <w:rsid w:val="00056199"/>
    <w:rsid w:val="000566DC"/>
    <w:rsid w:val="00057CC8"/>
    <w:rsid w:val="00061868"/>
    <w:rsid w:val="000623BF"/>
    <w:rsid w:val="00063899"/>
    <w:rsid w:val="00075128"/>
    <w:rsid w:val="00085931"/>
    <w:rsid w:val="000968D5"/>
    <w:rsid w:val="000A7B6E"/>
    <w:rsid w:val="000B32E6"/>
    <w:rsid w:val="000B7194"/>
    <w:rsid w:val="000C065F"/>
    <w:rsid w:val="000C06A2"/>
    <w:rsid w:val="000C09C3"/>
    <w:rsid w:val="000C1B2B"/>
    <w:rsid w:val="000C27B7"/>
    <w:rsid w:val="000D1074"/>
    <w:rsid w:val="000E13CA"/>
    <w:rsid w:val="000E4747"/>
    <w:rsid w:val="000E4ACB"/>
    <w:rsid w:val="000F1DC0"/>
    <w:rsid w:val="000F2CCA"/>
    <w:rsid w:val="00111F30"/>
    <w:rsid w:val="001127A6"/>
    <w:rsid w:val="00116162"/>
    <w:rsid w:val="00121DFA"/>
    <w:rsid w:val="0013108F"/>
    <w:rsid w:val="00131AAA"/>
    <w:rsid w:val="00135D83"/>
    <w:rsid w:val="00136C06"/>
    <w:rsid w:val="0015515E"/>
    <w:rsid w:val="00156F05"/>
    <w:rsid w:val="001616C1"/>
    <w:rsid w:val="00163391"/>
    <w:rsid w:val="00163FD0"/>
    <w:rsid w:val="001745F2"/>
    <w:rsid w:val="0017515A"/>
    <w:rsid w:val="00176E52"/>
    <w:rsid w:val="001817C5"/>
    <w:rsid w:val="00184D43"/>
    <w:rsid w:val="00186D01"/>
    <w:rsid w:val="001966FF"/>
    <w:rsid w:val="001977E7"/>
    <w:rsid w:val="001A0482"/>
    <w:rsid w:val="001A20DF"/>
    <w:rsid w:val="001A51B4"/>
    <w:rsid w:val="001A5BB2"/>
    <w:rsid w:val="001B3013"/>
    <w:rsid w:val="001B3E36"/>
    <w:rsid w:val="001B4E73"/>
    <w:rsid w:val="001B60D0"/>
    <w:rsid w:val="001C125C"/>
    <w:rsid w:val="001D17ED"/>
    <w:rsid w:val="001D1F0F"/>
    <w:rsid w:val="001E7DC9"/>
    <w:rsid w:val="001F3FF5"/>
    <w:rsid w:val="001F7DF9"/>
    <w:rsid w:val="00201587"/>
    <w:rsid w:val="00203A48"/>
    <w:rsid w:val="00215929"/>
    <w:rsid w:val="00220DD0"/>
    <w:rsid w:val="00222DF1"/>
    <w:rsid w:val="002234A3"/>
    <w:rsid w:val="002258EC"/>
    <w:rsid w:val="00227634"/>
    <w:rsid w:val="0024044E"/>
    <w:rsid w:val="00242E99"/>
    <w:rsid w:val="00247949"/>
    <w:rsid w:val="00256864"/>
    <w:rsid w:val="00262A37"/>
    <w:rsid w:val="00271B08"/>
    <w:rsid w:val="00283389"/>
    <w:rsid w:val="002933E9"/>
    <w:rsid w:val="002A683A"/>
    <w:rsid w:val="002B26EC"/>
    <w:rsid w:val="002B6232"/>
    <w:rsid w:val="002C2655"/>
    <w:rsid w:val="002C54F2"/>
    <w:rsid w:val="002C5E2B"/>
    <w:rsid w:val="002C70AB"/>
    <w:rsid w:val="002D3C1E"/>
    <w:rsid w:val="002D534E"/>
    <w:rsid w:val="002E2374"/>
    <w:rsid w:val="002E4287"/>
    <w:rsid w:val="002E4B4A"/>
    <w:rsid w:val="002F49EB"/>
    <w:rsid w:val="00310FEB"/>
    <w:rsid w:val="00324741"/>
    <w:rsid w:val="003272FE"/>
    <w:rsid w:val="003508C0"/>
    <w:rsid w:val="00357E00"/>
    <w:rsid w:val="0037026C"/>
    <w:rsid w:val="00374D2A"/>
    <w:rsid w:val="00375024"/>
    <w:rsid w:val="00376BFF"/>
    <w:rsid w:val="00392D65"/>
    <w:rsid w:val="00396399"/>
    <w:rsid w:val="00397726"/>
    <w:rsid w:val="003A1FE5"/>
    <w:rsid w:val="003A2FEA"/>
    <w:rsid w:val="003A5DB7"/>
    <w:rsid w:val="003B6984"/>
    <w:rsid w:val="003B7790"/>
    <w:rsid w:val="003C09E0"/>
    <w:rsid w:val="003D05DC"/>
    <w:rsid w:val="003D4CE6"/>
    <w:rsid w:val="003D7A72"/>
    <w:rsid w:val="003F18C4"/>
    <w:rsid w:val="003F48DE"/>
    <w:rsid w:val="0040564B"/>
    <w:rsid w:val="00412FAB"/>
    <w:rsid w:val="004257A4"/>
    <w:rsid w:val="004273D5"/>
    <w:rsid w:val="00431F09"/>
    <w:rsid w:val="004414B5"/>
    <w:rsid w:val="004423CF"/>
    <w:rsid w:val="00446195"/>
    <w:rsid w:val="00451E14"/>
    <w:rsid w:val="00466AD9"/>
    <w:rsid w:val="00467037"/>
    <w:rsid w:val="00484E01"/>
    <w:rsid w:val="004902CE"/>
    <w:rsid w:val="004907FE"/>
    <w:rsid w:val="00490E1F"/>
    <w:rsid w:val="00492C57"/>
    <w:rsid w:val="004B5883"/>
    <w:rsid w:val="004B66E1"/>
    <w:rsid w:val="004C4492"/>
    <w:rsid w:val="004D6EED"/>
    <w:rsid w:val="004E23D8"/>
    <w:rsid w:val="004E2A51"/>
    <w:rsid w:val="004E2B33"/>
    <w:rsid w:val="004F1D3E"/>
    <w:rsid w:val="004F3775"/>
    <w:rsid w:val="004F71E9"/>
    <w:rsid w:val="005102B3"/>
    <w:rsid w:val="0051240A"/>
    <w:rsid w:val="005126C7"/>
    <w:rsid w:val="005255C7"/>
    <w:rsid w:val="005353DE"/>
    <w:rsid w:val="00537F23"/>
    <w:rsid w:val="00553289"/>
    <w:rsid w:val="00555092"/>
    <w:rsid w:val="00556058"/>
    <w:rsid w:val="005613D2"/>
    <w:rsid w:val="0057518F"/>
    <w:rsid w:val="0057798D"/>
    <w:rsid w:val="005802FE"/>
    <w:rsid w:val="00596FE7"/>
    <w:rsid w:val="005A0576"/>
    <w:rsid w:val="005A3FC5"/>
    <w:rsid w:val="005A51D8"/>
    <w:rsid w:val="005A71CE"/>
    <w:rsid w:val="005A760D"/>
    <w:rsid w:val="005B0CAB"/>
    <w:rsid w:val="005E3215"/>
    <w:rsid w:val="005E35FE"/>
    <w:rsid w:val="005F5690"/>
    <w:rsid w:val="005F5F67"/>
    <w:rsid w:val="00603029"/>
    <w:rsid w:val="0060593D"/>
    <w:rsid w:val="00610EBB"/>
    <w:rsid w:val="006132ED"/>
    <w:rsid w:val="00622817"/>
    <w:rsid w:val="006233B8"/>
    <w:rsid w:val="00625099"/>
    <w:rsid w:val="00626EFC"/>
    <w:rsid w:val="0062750E"/>
    <w:rsid w:val="0063675F"/>
    <w:rsid w:val="00636BEE"/>
    <w:rsid w:val="006406A9"/>
    <w:rsid w:val="00642E7F"/>
    <w:rsid w:val="006437A2"/>
    <w:rsid w:val="006438E5"/>
    <w:rsid w:val="00646B40"/>
    <w:rsid w:val="006520A0"/>
    <w:rsid w:val="0065268B"/>
    <w:rsid w:val="00666C46"/>
    <w:rsid w:val="0067352A"/>
    <w:rsid w:val="00676318"/>
    <w:rsid w:val="00683A37"/>
    <w:rsid w:val="00687AA1"/>
    <w:rsid w:val="00692CBA"/>
    <w:rsid w:val="00697F05"/>
    <w:rsid w:val="006A5AA1"/>
    <w:rsid w:val="006A6136"/>
    <w:rsid w:val="006A782D"/>
    <w:rsid w:val="006B0A77"/>
    <w:rsid w:val="006C0291"/>
    <w:rsid w:val="006C2817"/>
    <w:rsid w:val="006C46B1"/>
    <w:rsid w:val="006C4B70"/>
    <w:rsid w:val="006D33BA"/>
    <w:rsid w:val="006E150E"/>
    <w:rsid w:val="006E177C"/>
    <w:rsid w:val="006E57FC"/>
    <w:rsid w:val="006F5B2D"/>
    <w:rsid w:val="00700618"/>
    <w:rsid w:val="007137C7"/>
    <w:rsid w:val="00715386"/>
    <w:rsid w:val="00722823"/>
    <w:rsid w:val="00723EC2"/>
    <w:rsid w:val="00742AD5"/>
    <w:rsid w:val="00747DA7"/>
    <w:rsid w:val="007623B0"/>
    <w:rsid w:val="0077715F"/>
    <w:rsid w:val="007778C5"/>
    <w:rsid w:val="00784698"/>
    <w:rsid w:val="0079618C"/>
    <w:rsid w:val="007A3C13"/>
    <w:rsid w:val="007B03C2"/>
    <w:rsid w:val="007B0CC2"/>
    <w:rsid w:val="007B1F15"/>
    <w:rsid w:val="007C1B87"/>
    <w:rsid w:val="007C2B6D"/>
    <w:rsid w:val="007C4A0D"/>
    <w:rsid w:val="007E2225"/>
    <w:rsid w:val="007F3F91"/>
    <w:rsid w:val="007F5F78"/>
    <w:rsid w:val="007F6BFC"/>
    <w:rsid w:val="007F7311"/>
    <w:rsid w:val="00802051"/>
    <w:rsid w:val="008039C8"/>
    <w:rsid w:val="00813475"/>
    <w:rsid w:val="0081350F"/>
    <w:rsid w:val="00813637"/>
    <w:rsid w:val="0081745C"/>
    <w:rsid w:val="00822DD5"/>
    <w:rsid w:val="00823A84"/>
    <w:rsid w:val="00833F32"/>
    <w:rsid w:val="00837A51"/>
    <w:rsid w:val="00837CC4"/>
    <w:rsid w:val="008412D3"/>
    <w:rsid w:val="00842230"/>
    <w:rsid w:val="00845589"/>
    <w:rsid w:val="00894633"/>
    <w:rsid w:val="008951F1"/>
    <w:rsid w:val="008A1C8D"/>
    <w:rsid w:val="008A46FF"/>
    <w:rsid w:val="008A4CBE"/>
    <w:rsid w:val="008A6063"/>
    <w:rsid w:val="008B2493"/>
    <w:rsid w:val="008B3DAB"/>
    <w:rsid w:val="008B5C4C"/>
    <w:rsid w:val="008B7707"/>
    <w:rsid w:val="008C45BF"/>
    <w:rsid w:val="008C57A9"/>
    <w:rsid w:val="008D3638"/>
    <w:rsid w:val="008D402A"/>
    <w:rsid w:val="008D6944"/>
    <w:rsid w:val="008E13C7"/>
    <w:rsid w:val="008E4AFA"/>
    <w:rsid w:val="008E4D9A"/>
    <w:rsid w:val="008E6DA9"/>
    <w:rsid w:val="008F2E07"/>
    <w:rsid w:val="00901E53"/>
    <w:rsid w:val="00905AD8"/>
    <w:rsid w:val="00911646"/>
    <w:rsid w:val="00912C23"/>
    <w:rsid w:val="00914CCB"/>
    <w:rsid w:val="00933EC9"/>
    <w:rsid w:val="009365FF"/>
    <w:rsid w:val="0094151D"/>
    <w:rsid w:val="00941D02"/>
    <w:rsid w:val="009433CB"/>
    <w:rsid w:val="00943747"/>
    <w:rsid w:val="00944D80"/>
    <w:rsid w:val="00946EFD"/>
    <w:rsid w:val="009503CE"/>
    <w:rsid w:val="00952BCF"/>
    <w:rsid w:val="00954333"/>
    <w:rsid w:val="00956E1E"/>
    <w:rsid w:val="00960274"/>
    <w:rsid w:val="00964A04"/>
    <w:rsid w:val="00966804"/>
    <w:rsid w:val="00973EB0"/>
    <w:rsid w:val="00977092"/>
    <w:rsid w:val="009816B6"/>
    <w:rsid w:val="009870DF"/>
    <w:rsid w:val="009936C0"/>
    <w:rsid w:val="00993F33"/>
    <w:rsid w:val="00996009"/>
    <w:rsid w:val="009960B1"/>
    <w:rsid w:val="009A083A"/>
    <w:rsid w:val="009A209E"/>
    <w:rsid w:val="009C39AF"/>
    <w:rsid w:val="009C3AA9"/>
    <w:rsid w:val="009D085F"/>
    <w:rsid w:val="009D6220"/>
    <w:rsid w:val="009E0CC4"/>
    <w:rsid w:val="009E17EE"/>
    <w:rsid w:val="009E40A1"/>
    <w:rsid w:val="009E7F33"/>
    <w:rsid w:val="009F255F"/>
    <w:rsid w:val="009F29CC"/>
    <w:rsid w:val="00A02C2B"/>
    <w:rsid w:val="00A05455"/>
    <w:rsid w:val="00A16096"/>
    <w:rsid w:val="00A274C2"/>
    <w:rsid w:val="00A33F00"/>
    <w:rsid w:val="00A40C2A"/>
    <w:rsid w:val="00A47BC1"/>
    <w:rsid w:val="00A6106B"/>
    <w:rsid w:val="00A62D35"/>
    <w:rsid w:val="00A6548A"/>
    <w:rsid w:val="00A67B85"/>
    <w:rsid w:val="00A76A5F"/>
    <w:rsid w:val="00A855C4"/>
    <w:rsid w:val="00A87D9D"/>
    <w:rsid w:val="00A94C6D"/>
    <w:rsid w:val="00AB28D1"/>
    <w:rsid w:val="00AB3F34"/>
    <w:rsid w:val="00AB4B60"/>
    <w:rsid w:val="00AC15D3"/>
    <w:rsid w:val="00AC22B0"/>
    <w:rsid w:val="00AC3E2E"/>
    <w:rsid w:val="00AC5B47"/>
    <w:rsid w:val="00AD181B"/>
    <w:rsid w:val="00AD429A"/>
    <w:rsid w:val="00AE7E72"/>
    <w:rsid w:val="00AF7B77"/>
    <w:rsid w:val="00B1551E"/>
    <w:rsid w:val="00B20D56"/>
    <w:rsid w:val="00B26BD8"/>
    <w:rsid w:val="00B37A14"/>
    <w:rsid w:val="00B37C66"/>
    <w:rsid w:val="00B47E53"/>
    <w:rsid w:val="00B558A7"/>
    <w:rsid w:val="00B570E2"/>
    <w:rsid w:val="00B64F94"/>
    <w:rsid w:val="00B708A1"/>
    <w:rsid w:val="00B720FB"/>
    <w:rsid w:val="00B83337"/>
    <w:rsid w:val="00B84F0C"/>
    <w:rsid w:val="00B873BE"/>
    <w:rsid w:val="00B97760"/>
    <w:rsid w:val="00BA519C"/>
    <w:rsid w:val="00BB4C78"/>
    <w:rsid w:val="00BB525E"/>
    <w:rsid w:val="00BB65FA"/>
    <w:rsid w:val="00BC02E3"/>
    <w:rsid w:val="00BC1955"/>
    <w:rsid w:val="00BC4312"/>
    <w:rsid w:val="00BC7813"/>
    <w:rsid w:val="00BE0466"/>
    <w:rsid w:val="00BE5F72"/>
    <w:rsid w:val="00BE62FA"/>
    <w:rsid w:val="00BF65D9"/>
    <w:rsid w:val="00C0507C"/>
    <w:rsid w:val="00C14678"/>
    <w:rsid w:val="00C23404"/>
    <w:rsid w:val="00C56D10"/>
    <w:rsid w:val="00C616B1"/>
    <w:rsid w:val="00C63B87"/>
    <w:rsid w:val="00C70E1D"/>
    <w:rsid w:val="00C808D1"/>
    <w:rsid w:val="00CB5557"/>
    <w:rsid w:val="00CC004A"/>
    <w:rsid w:val="00CC5BF5"/>
    <w:rsid w:val="00CC7F25"/>
    <w:rsid w:val="00CD5A68"/>
    <w:rsid w:val="00CE5F5C"/>
    <w:rsid w:val="00D02E62"/>
    <w:rsid w:val="00D05145"/>
    <w:rsid w:val="00D17DF7"/>
    <w:rsid w:val="00D22771"/>
    <w:rsid w:val="00D30FBD"/>
    <w:rsid w:val="00D317C2"/>
    <w:rsid w:val="00D35C9D"/>
    <w:rsid w:val="00D418D7"/>
    <w:rsid w:val="00D44C06"/>
    <w:rsid w:val="00D52AFB"/>
    <w:rsid w:val="00D648A9"/>
    <w:rsid w:val="00D81369"/>
    <w:rsid w:val="00D90E31"/>
    <w:rsid w:val="00DA45D7"/>
    <w:rsid w:val="00DA5C14"/>
    <w:rsid w:val="00DB1545"/>
    <w:rsid w:val="00DB3F3A"/>
    <w:rsid w:val="00DB40E7"/>
    <w:rsid w:val="00DB660F"/>
    <w:rsid w:val="00DB67EF"/>
    <w:rsid w:val="00DC1088"/>
    <w:rsid w:val="00DC10BC"/>
    <w:rsid w:val="00DC11E0"/>
    <w:rsid w:val="00DF7102"/>
    <w:rsid w:val="00E0269B"/>
    <w:rsid w:val="00E0435C"/>
    <w:rsid w:val="00E16D5D"/>
    <w:rsid w:val="00E2358B"/>
    <w:rsid w:val="00E25B77"/>
    <w:rsid w:val="00E43959"/>
    <w:rsid w:val="00E45883"/>
    <w:rsid w:val="00E575EF"/>
    <w:rsid w:val="00E708AA"/>
    <w:rsid w:val="00E75291"/>
    <w:rsid w:val="00E75ED5"/>
    <w:rsid w:val="00E85A31"/>
    <w:rsid w:val="00E91985"/>
    <w:rsid w:val="00EA528E"/>
    <w:rsid w:val="00EC0FF6"/>
    <w:rsid w:val="00EC6DCA"/>
    <w:rsid w:val="00EC6FA9"/>
    <w:rsid w:val="00ED61A4"/>
    <w:rsid w:val="00EE3701"/>
    <w:rsid w:val="00F009EE"/>
    <w:rsid w:val="00F06DDC"/>
    <w:rsid w:val="00F15E09"/>
    <w:rsid w:val="00F16F39"/>
    <w:rsid w:val="00F216CE"/>
    <w:rsid w:val="00F218BF"/>
    <w:rsid w:val="00F3443B"/>
    <w:rsid w:val="00F36B3A"/>
    <w:rsid w:val="00F41679"/>
    <w:rsid w:val="00F4167D"/>
    <w:rsid w:val="00F4409D"/>
    <w:rsid w:val="00F450DC"/>
    <w:rsid w:val="00F461E5"/>
    <w:rsid w:val="00F50FD6"/>
    <w:rsid w:val="00F5560F"/>
    <w:rsid w:val="00F61E36"/>
    <w:rsid w:val="00F624AD"/>
    <w:rsid w:val="00F64E77"/>
    <w:rsid w:val="00F674E0"/>
    <w:rsid w:val="00F70588"/>
    <w:rsid w:val="00F7539B"/>
    <w:rsid w:val="00F91EBB"/>
    <w:rsid w:val="00F925A9"/>
    <w:rsid w:val="00F94D3E"/>
    <w:rsid w:val="00F978DA"/>
    <w:rsid w:val="00FA17DF"/>
    <w:rsid w:val="00FA4665"/>
    <w:rsid w:val="00FA60C8"/>
    <w:rsid w:val="00FB2FB0"/>
    <w:rsid w:val="00FD19AC"/>
    <w:rsid w:val="00FD5051"/>
    <w:rsid w:val="00FF0B7B"/>
    <w:rsid w:val="00FF3F6B"/>
    <w:rsid w:val="00FF72D2"/>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60D8"/>
  <w15:chartTrackingRefBased/>
  <w15:docId w15:val="{35C2412D-9BB7-4F62-B416-891ACD02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45C"/>
    <w:pPr>
      <w:widowControl w:val="0"/>
      <w:jc w:val="both"/>
    </w:pPr>
  </w:style>
  <w:style w:type="paragraph" w:styleId="1">
    <w:name w:val="heading 1"/>
    <w:basedOn w:val="a"/>
    <w:next w:val="a"/>
    <w:link w:val="10"/>
    <w:uiPriority w:val="9"/>
    <w:qFormat/>
    <w:rsid w:val="0003641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5560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702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416"/>
    <w:rPr>
      <w:b/>
      <w:bCs/>
      <w:kern w:val="44"/>
      <w:sz w:val="44"/>
      <w:szCs w:val="44"/>
    </w:rPr>
  </w:style>
  <w:style w:type="paragraph" w:styleId="a3">
    <w:name w:val="List Paragraph"/>
    <w:basedOn w:val="a"/>
    <w:uiPriority w:val="34"/>
    <w:qFormat/>
    <w:rsid w:val="00F5560F"/>
    <w:pPr>
      <w:ind w:firstLineChars="200" w:firstLine="420"/>
    </w:pPr>
  </w:style>
  <w:style w:type="character" w:customStyle="1" w:styleId="20">
    <w:name w:val="标题 2 字符"/>
    <w:basedOn w:val="a0"/>
    <w:link w:val="2"/>
    <w:uiPriority w:val="9"/>
    <w:rsid w:val="00F5560F"/>
    <w:rPr>
      <w:rFonts w:asciiTheme="majorHAnsi" w:eastAsiaTheme="majorEastAsia" w:hAnsiTheme="majorHAnsi" w:cstheme="majorBidi"/>
      <w:b/>
      <w:bCs/>
      <w:sz w:val="32"/>
      <w:szCs w:val="32"/>
    </w:rPr>
  </w:style>
  <w:style w:type="paragraph" w:customStyle="1" w:styleId="a4">
    <w:name w:val="图表内容"/>
    <w:basedOn w:val="a"/>
    <w:link w:val="a5"/>
    <w:autoRedefine/>
    <w:qFormat/>
    <w:rsid w:val="0037026C"/>
    <w:pPr>
      <w:widowControl/>
      <w:adjustRightInd w:val="0"/>
      <w:snapToGrid w:val="0"/>
      <w:jc w:val="left"/>
    </w:pPr>
    <w:rPr>
      <w:rFonts w:ascii="仿宋" w:eastAsia="仿宋" w:hAnsi="仿宋"/>
      <w:bCs/>
      <w:szCs w:val="21"/>
    </w:rPr>
  </w:style>
  <w:style w:type="character" w:customStyle="1" w:styleId="a5">
    <w:name w:val="图表内容 字符"/>
    <w:basedOn w:val="a0"/>
    <w:link w:val="a4"/>
    <w:rsid w:val="0037026C"/>
    <w:rPr>
      <w:rFonts w:ascii="仿宋" w:eastAsia="仿宋" w:hAnsi="仿宋"/>
      <w:bCs/>
      <w:szCs w:val="21"/>
    </w:rPr>
  </w:style>
  <w:style w:type="table" w:styleId="a6">
    <w:name w:val="Table Grid"/>
    <w:basedOn w:val="a1"/>
    <w:uiPriority w:val="39"/>
    <w:rsid w:val="0037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37026C"/>
    <w:rPr>
      <w:rFonts w:asciiTheme="majorHAnsi" w:eastAsia="黑体" w:hAnsiTheme="majorHAnsi" w:cstheme="majorBidi"/>
      <w:sz w:val="20"/>
      <w:szCs w:val="20"/>
    </w:rPr>
  </w:style>
  <w:style w:type="character" w:customStyle="1" w:styleId="30">
    <w:name w:val="标题 3 字符"/>
    <w:basedOn w:val="a0"/>
    <w:link w:val="3"/>
    <w:uiPriority w:val="9"/>
    <w:rsid w:val="0037026C"/>
    <w:rPr>
      <w:b/>
      <w:bCs/>
      <w:sz w:val="32"/>
      <w:szCs w:val="32"/>
    </w:rPr>
  </w:style>
  <w:style w:type="table" w:customStyle="1" w:styleId="11">
    <w:name w:val="网格型1"/>
    <w:basedOn w:val="a1"/>
    <w:next w:val="a6"/>
    <w:uiPriority w:val="39"/>
    <w:rsid w:val="0061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Intense Reference"/>
    <w:basedOn w:val="a0"/>
    <w:uiPriority w:val="32"/>
    <w:qFormat/>
    <w:rsid w:val="005A760D"/>
    <w:rPr>
      <w:b/>
      <w:bCs/>
      <w:smallCaps/>
      <w:color w:val="4472C4" w:themeColor="accent1"/>
      <w:spacing w:val="5"/>
    </w:rPr>
  </w:style>
  <w:style w:type="character" w:styleId="a9">
    <w:name w:val="Strong"/>
    <w:basedOn w:val="a0"/>
    <w:uiPriority w:val="22"/>
    <w:qFormat/>
    <w:rsid w:val="005A760D"/>
    <w:rPr>
      <w:b/>
      <w:bCs/>
    </w:rPr>
  </w:style>
  <w:style w:type="character" w:styleId="aa">
    <w:name w:val="Hyperlink"/>
    <w:basedOn w:val="a0"/>
    <w:uiPriority w:val="99"/>
    <w:unhideWhenUsed/>
    <w:rsid w:val="00636BEE"/>
    <w:rPr>
      <w:color w:val="0563C1" w:themeColor="hyperlink"/>
      <w:u w:val="single"/>
    </w:rPr>
  </w:style>
  <w:style w:type="character" w:styleId="ab">
    <w:name w:val="Unresolved Mention"/>
    <w:basedOn w:val="a0"/>
    <w:uiPriority w:val="99"/>
    <w:semiHidden/>
    <w:unhideWhenUsed/>
    <w:rsid w:val="00636BEE"/>
    <w:rPr>
      <w:color w:val="605E5C"/>
      <w:shd w:val="clear" w:color="auto" w:fill="E1DFDD"/>
    </w:rPr>
  </w:style>
  <w:style w:type="paragraph" w:styleId="ac">
    <w:name w:val="header"/>
    <w:basedOn w:val="a"/>
    <w:link w:val="ad"/>
    <w:uiPriority w:val="99"/>
    <w:unhideWhenUsed/>
    <w:rsid w:val="006C4B7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6C4B70"/>
    <w:rPr>
      <w:sz w:val="18"/>
      <w:szCs w:val="18"/>
    </w:rPr>
  </w:style>
  <w:style w:type="paragraph" w:styleId="ae">
    <w:name w:val="footer"/>
    <w:basedOn w:val="a"/>
    <w:link w:val="af"/>
    <w:uiPriority w:val="99"/>
    <w:unhideWhenUsed/>
    <w:rsid w:val="006C4B70"/>
    <w:pPr>
      <w:tabs>
        <w:tab w:val="center" w:pos="4153"/>
        <w:tab w:val="right" w:pos="8306"/>
      </w:tabs>
      <w:snapToGrid w:val="0"/>
      <w:jc w:val="left"/>
    </w:pPr>
    <w:rPr>
      <w:sz w:val="18"/>
      <w:szCs w:val="18"/>
    </w:rPr>
  </w:style>
  <w:style w:type="character" w:customStyle="1" w:styleId="af">
    <w:name w:val="页脚 字符"/>
    <w:basedOn w:val="a0"/>
    <w:link w:val="ae"/>
    <w:uiPriority w:val="99"/>
    <w:rsid w:val="006C4B70"/>
    <w:rPr>
      <w:sz w:val="18"/>
      <w:szCs w:val="18"/>
    </w:rPr>
  </w:style>
  <w:style w:type="paragraph" w:customStyle="1" w:styleId="-05-15">
    <w:name w:val="正文-0.5-1.5"/>
    <w:basedOn w:val="a"/>
    <w:link w:val="-05-150"/>
    <w:qFormat/>
    <w:rsid w:val="001966FF"/>
    <w:pPr>
      <w:spacing w:beforeLines="50" w:before="156" w:afterLines="50" w:after="156" w:line="360" w:lineRule="auto"/>
      <w:ind w:firstLineChars="200" w:firstLine="480"/>
    </w:pPr>
    <w:rPr>
      <w:sz w:val="24"/>
      <w:szCs w:val="24"/>
    </w:rPr>
  </w:style>
  <w:style w:type="character" w:customStyle="1" w:styleId="-05-150">
    <w:name w:val="正文-0.5-1.5 字符"/>
    <w:basedOn w:val="a0"/>
    <w:link w:val="-05-15"/>
    <w:rsid w:val="001966FF"/>
    <w:rPr>
      <w:sz w:val="24"/>
      <w:szCs w:val="24"/>
    </w:rPr>
  </w:style>
  <w:style w:type="paragraph" w:styleId="af0">
    <w:name w:val="Balloon Text"/>
    <w:basedOn w:val="a"/>
    <w:link w:val="af1"/>
    <w:uiPriority w:val="99"/>
    <w:semiHidden/>
    <w:unhideWhenUsed/>
    <w:rsid w:val="00905AD8"/>
    <w:rPr>
      <w:sz w:val="18"/>
      <w:szCs w:val="18"/>
    </w:rPr>
  </w:style>
  <w:style w:type="character" w:customStyle="1" w:styleId="af1">
    <w:name w:val="批注框文本 字符"/>
    <w:basedOn w:val="a0"/>
    <w:link w:val="af0"/>
    <w:uiPriority w:val="99"/>
    <w:semiHidden/>
    <w:rsid w:val="00905AD8"/>
    <w:rPr>
      <w:sz w:val="18"/>
      <w:szCs w:val="18"/>
    </w:rPr>
  </w:style>
  <w:style w:type="paragraph" w:styleId="af2">
    <w:name w:val="Revision"/>
    <w:hidden/>
    <w:uiPriority w:val="99"/>
    <w:semiHidden/>
    <w:rsid w:val="00687AA1"/>
  </w:style>
  <w:style w:type="character" w:styleId="af3">
    <w:name w:val="annotation reference"/>
    <w:basedOn w:val="a0"/>
    <w:uiPriority w:val="99"/>
    <w:semiHidden/>
    <w:unhideWhenUsed/>
    <w:rsid w:val="0067352A"/>
    <w:rPr>
      <w:sz w:val="21"/>
      <w:szCs w:val="21"/>
    </w:rPr>
  </w:style>
  <w:style w:type="paragraph" w:styleId="af4">
    <w:name w:val="annotation text"/>
    <w:basedOn w:val="a"/>
    <w:link w:val="af5"/>
    <w:uiPriority w:val="99"/>
    <w:semiHidden/>
    <w:unhideWhenUsed/>
    <w:rsid w:val="0067352A"/>
    <w:pPr>
      <w:jc w:val="left"/>
    </w:pPr>
  </w:style>
  <w:style w:type="character" w:customStyle="1" w:styleId="af5">
    <w:name w:val="批注文字 字符"/>
    <w:basedOn w:val="a0"/>
    <w:link w:val="af4"/>
    <w:uiPriority w:val="99"/>
    <w:semiHidden/>
    <w:rsid w:val="0067352A"/>
  </w:style>
  <w:style w:type="paragraph" w:styleId="af6">
    <w:name w:val="annotation subject"/>
    <w:basedOn w:val="af4"/>
    <w:next w:val="af4"/>
    <w:link w:val="af7"/>
    <w:uiPriority w:val="99"/>
    <w:semiHidden/>
    <w:unhideWhenUsed/>
    <w:rsid w:val="0067352A"/>
    <w:rPr>
      <w:b/>
      <w:bCs/>
    </w:rPr>
  </w:style>
  <w:style w:type="character" w:customStyle="1" w:styleId="af7">
    <w:name w:val="批注主题 字符"/>
    <w:basedOn w:val="af5"/>
    <w:link w:val="af6"/>
    <w:uiPriority w:val="99"/>
    <w:semiHidden/>
    <w:rsid w:val="0067352A"/>
    <w:rPr>
      <w:b/>
      <w:bCs/>
    </w:rPr>
  </w:style>
  <w:style w:type="paragraph" w:styleId="af8">
    <w:name w:val="footnote text"/>
    <w:basedOn w:val="a"/>
    <w:link w:val="af9"/>
    <w:uiPriority w:val="99"/>
    <w:semiHidden/>
    <w:unhideWhenUsed/>
    <w:rsid w:val="00FA4665"/>
    <w:pPr>
      <w:snapToGrid w:val="0"/>
      <w:jc w:val="left"/>
    </w:pPr>
    <w:rPr>
      <w:sz w:val="18"/>
      <w:szCs w:val="18"/>
    </w:rPr>
  </w:style>
  <w:style w:type="character" w:customStyle="1" w:styleId="af9">
    <w:name w:val="脚注文本 字符"/>
    <w:basedOn w:val="a0"/>
    <w:link w:val="af8"/>
    <w:uiPriority w:val="99"/>
    <w:semiHidden/>
    <w:rsid w:val="00FA4665"/>
    <w:rPr>
      <w:sz w:val="18"/>
      <w:szCs w:val="18"/>
    </w:rPr>
  </w:style>
  <w:style w:type="character" w:styleId="afa">
    <w:name w:val="footnote reference"/>
    <w:basedOn w:val="a0"/>
    <w:uiPriority w:val="99"/>
    <w:semiHidden/>
    <w:unhideWhenUsed/>
    <w:rsid w:val="00FA4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1631">
      <w:bodyDiv w:val="1"/>
      <w:marLeft w:val="0"/>
      <w:marRight w:val="0"/>
      <w:marTop w:val="0"/>
      <w:marBottom w:val="0"/>
      <w:divBdr>
        <w:top w:val="none" w:sz="0" w:space="0" w:color="auto"/>
        <w:left w:val="none" w:sz="0" w:space="0" w:color="auto"/>
        <w:bottom w:val="none" w:sz="0" w:space="0" w:color="auto"/>
        <w:right w:val="none" w:sz="0" w:space="0" w:color="auto"/>
      </w:divBdr>
    </w:div>
    <w:div w:id="254672982">
      <w:bodyDiv w:val="1"/>
      <w:marLeft w:val="0"/>
      <w:marRight w:val="0"/>
      <w:marTop w:val="0"/>
      <w:marBottom w:val="0"/>
      <w:divBdr>
        <w:top w:val="none" w:sz="0" w:space="0" w:color="auto"/>
        <w:left w:val="none" w:sz="0" w:space="0" w:color="auto"/>
        <w:bottom w:val="none" w:sz="0" w:space="0" w:color="auto"/>
        <w:right w:val="none" w:sz="0" w:space="0" w:color="auto"/>
      </w:divBdr>
    </w:div>
    <w:div w:id="1272013226">
      <w:bodyDiv w:val="1"/>
      <w:marLeft w:val="0"/>
      <w:marRight w:val="0"/>
      <w:marTop w:val="0"/>
      <w:marBottom w:val="0"/>
      <w:divBdr>
        <w:top w:val="none" w:sz="0" w:space="0" w:color="auto"/>
        <w:left w:val="none" w:sz="0" w:space="0" w:color="auto"/>
        <w:bottom w:val="none" w:sz="0" w:space="0" w:color="auto"/>
        <w:right w:val="none" w:sz="0" w:space="0" w:color="auto"/>
      </w:divBdr>
    </w:div>
    <w:div w:id="13123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3FEE-FE3F-463C-A880-6224B7B5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993</Words>
  <Characters>5635</Characters>
  <Application>Microsoft Office Word</Application>
  <DocSecurity>0</DocSecurity>
  <Lines>181</Lines>
  <Paragraphs>80</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Tsinghua</dc:creator>
  <cp:keywords/>
  <dc:description/>
  <cp:lastModifiedBy>Lily Liu</cp:lastModifiedBy>
  <cp:revision>2</cp:revision>
  <dcterms:created xsi:type="dcterms:W3CDTF">2025-06-02T08:50:00Z</dcterms:created>
  <dcterms:modified xsi:type="dcterms:W3CDTF">2025-06-02T08:50:00Z</dcterms:modified>
</cp:coreProperties>
</file>